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1F9FC" w14:textId="37D72769" w:rsidR="00390267" w:rsidRPr="001062CC" w:rsidRDefault="00390267" w:rsidP="00390267">
      <w:pPr>
        <w:widowControl w:val="0"/>
        <w:tabs>
          <w:tab w:val="right" w:pos="9639"/>
        </w:tabs>
        <w:spacing w:after="0"/>
        <w:rPr>
          <w:b/>
          <w:bCs/>
          <w:color w:val="000000"/>
          <w:sz w:val="26"/>
          <w:szCs w:val="26"/>
        </w:rPr>
      </w:pPr>
      <w:r w:rsidRPr="001062CC">
        <w:rPr>
          <w:rFonts w:eastAsia="Times New Roman"/>
          <w:b/>
          <w:bCs/>
          <w:sz w:val="24"/>
          <w:szCs w:val="24"/>
        </w:rPr>
        <w:t>3GPP T</w:t>
      </w:r>
      <w:bookmarkStart w:id="0" w:name="_Ref452454252"/>
      <w:bookmarkEnd w:id="0"/>
      <w:r w:rsidRPr="001062CC">
        <w:rPr>
          <w:rFonts w:eastAsia="Times New Roman"/>
          <w:b/>
          <w:bCs/>
          <w:sz w:val="24"/>
          <w:szCs w:val="24"/>
        </w:rPr>
        <w:t xml:space="preserve">SG-RAN </w:t>
      </w:r>
      <w:r w:rsidRPr="001062CC">
        <w:rPr>
          <w:rFonts w:eastAsia="Times New Roman"/>
          <w:b/>
          <w:sz w:val="24"/>
          <w:szCs w:val="24"/>
        </w:rPr>
        <w:t>WG3 Meeting #11</w:t>
      </w:r>
      <w:r w:rsidR="00DC6B3E" w:rsidRPr="001062CC">
        <w:rPr>
          <w:rFonts w:eastAsia="Times New Roman"/>
          <w:b/>
          <w:sz w:val="24"/>
          <w:szCs w:val="24"/>
        </w:rPr>
        <w:t>4</w:t>
      </w:r>
      <w:r w:rsidRPr="001062CC">
        <w:rPr>
          <w:rFonts w:eastAsia="Times New Roman"/>
          <w:b/>
          <w:sz w:val="24"/>
          <w:szCs w:val="24"/>
        </w:rPr>
        <w:t xml:space="preserve">e                                                      </w:t>
      </w:r>
      <w:r w:rsidR="00F903F8">
        <w:rPr>
          <w:rFonts w:eastAsia="Times New Roman"/>
          <w:b/>
          <w:sz w:val="24"/>
          <w:szCs w:val="24"/>
        </w:rPr>
        <w:tab/>
      </w:r>
      <w:r w:rsidRPr="001062CC">
        <w:rPr>
          <w:b/>
          <w:bCs/>
          <w:color w:val="000000"/>
          <w:sz w:val="26"/>
          <w:szCs w:val="26"/>
        </w:rPr>
        <w:t>R3-2</w:t>
      </w:r>
      <w:r w:rsidR="008716E5" w:rsidRPr="001062CC">
        <w:rPr>
          <w:b/>
          <w:bCs/>
          <w:color w:val="000000"/>
          <w:sz w:val="26"/>
          <w:szCs w:val="26"/>
        </w:rPr>
        <w:t>1</w:t>
      </w:r>
      <w:r w:rsidR="00F903F8">
        <w:rPr>
          <w:b/>
          <w:bCs/>
          <w:color w:val="000000"/>
          <w:sz w:val="26"/>
          <w:szCs w:val="26"/>
        </w:rPr>
        <w:t>4911</w:t>
      </w:r>
    </w:p>
    <w:p w14:paraId="18202845" w14:textId="717C3D0A" w:rsidR="00390267" w:rsidRPr="001062CC" w:rsidRDefault="00390267" w:rsidP="00390267">
      <w:pPr>
        <w:widowControl w:val="0"/>
        <w:tabs>
          <w:tab w:val="right" w:pos="9639"/>
        </w:tabs>
        <w:spacing w:after="0"/>
        <w:rPr>
          <w:rFonts w:eastAsia="Times New Roman"/>
          <w:b/>
          <w:bCs/>
          <w:i/>
          <w:sz w:val="24"/>
          <w:szCs w:val="24"/>
        </w:rPr>
      </w:pPr>
      <w:r w:rsidRPr="001062CC">
        <w:rPr>
          <w:b/>
          <w:sz w:val="24"/>
          <w:szCs w:val="24"/>
          <w:lang w:eastAsia="zh-CN"/>
        </w:rPr>
        <w:t xml:space="preserve">E-Meeting: </w:t>
      </w:r>
      <w:r w:rsidR="00DC6B3E" w:rsidRPr="001062CC">
        <w:rPr>
          <w:b/>
          <w:sz w:val="24"/>
          <w:szCs w:val="24"/>
          <w:lang w:eastAsia="zh-CN"/>
        </w:rPr>
        <w:t>Nov</w:t>
      </w:r>
      <w:r w:rsidRPr="001062CC">
        <w:rPr>
          <w:b/>
          <w:sz w:val="24"/>
          <w:szCs w:val="24"/>
          <w:lang w:eastAsia="zh-CN"/>
        </w:rPr>
        <w:t xml:space="preserve"> 1</w:t>
      </w:r>
      <w:r w:rsidR="00DC6B3E" w:rsidRPr="001062CC">
        <w:rPr>
          <w:b/>
          <w:sz w:val="24"/>
          <w:szCs w:val="24"/>
          <w:vertAlign w:val="superscript"/>
          <w:lang w:eastAsia="zh-CN"/>
        </w:rPr>
        <w:t>st</w:t>
      </w:r>
      <w:r w:rsidR="00DC6B3E" w:rsidRPr="001062CC">
        <w:rPr>
          <w:b/>
          <w:sz w:val="24"/>
          <w:szCs w:val="24"/>
          <w:lang w:eastAsia="zh-CN"/>
        </w:rPr>
        <w:t xml:space="preserve"> </w:t>
      </w:r>
      <w:r w:rsidRPr="001062CC">
        <w:rPr>
          <w:b/>
          <w:sz w:val="24"/>
          <w:szCs w:val="24"/>
          <w:lang w:eastAsia="zh-CN"/>
        </w:rPr>
        <w:t xml:space="preserve">– </w:t>
      </w:r>
      <w:r w:rsidR="00DC6B3E" w:rsidRPr="001062CC">
        <w:rPr>
          <w:b/>
          <w:sz w:val="24"/>
          <w:szCs w:val="24"/>
          <w:lang w:eastAsia="zh-CN"/>
        </w:rPr>
        <w:t>Nov</w:t>
      </w:r>
      <w:r w:rsidRPr="001062CC">
        <w:rPr>
          <w:b/>
          <w:sz w:val="24"/>
          <w:szCs w:val="24"/>
          <w:lang w:eastAsia="zh-CN"/>
        </w:rPr>
        <w:t xml:space="preserve"> </w:t>
      </w:r>
      <w:r w:rsidR="00DC6B3E" w:rsidRPr="001062CC">
        <w:rPr>
          <w:b/>
          <w:sz w:val="24"/>
          <w:szCs w:val="24"/>
          <w:lang w:eastAsia="zh-CN"/>
        </w:rPr>
        <w:t>11</w:t>
      </w:r>
      <w:r w:rsidRPr="001062CC">
        <w:rPr>
          <w:b/>
          <w:sz w:val="24"/>
          <w:szCs w:val="24"/>
          <w:vertAlign w:val="superscript"/>
          <w:lang w:eastAsia="zh-CN"/>
        </w:rPr>
        <w:t>th</w:t>
      </w:r>
      <w:r w:rsidRPr="001062CC">
        <w:rPr>
          <w:b/>
          <w:sz w:val="24"/>
          <w:szCs w:val="24"/>
          <w:lang w:eastAsia="zh-CN"/>
        </w:rPr>
        <w:t>, 2021</w:t>
      </w:r>
      <w:r w:rsidRPr="001062CC">
        <w:rPr>
          <w:b/>
          <w:bCs/>
          <w:color w:val="000000"/>
          <w:sz w:val="26"/>
          <w:szCs w:val="26"/>
        </w:rPr>
        <w:t xml:space="preserve">                                     </w:t>
      </w:r>
    </w:p>
    <w:p w14:paraId="24B58BE0" w14:textId="77777777" w:rsidR="00390267" w:rsidRPr="001062CC" w:rsidRDefault="00390267" w:rsidP="00390267">
      <w:pPr>
        <w:widowControl w:val="0"/>
        <w:tabs>
          <w:tab w:val="right" w:pos="9639"/>
        </w:tabs>
        <w:spacing w:after="0"/>
        <w:rPr>
          <w:b/>
          <w:sz w:val="24"/>
          <w:szCs w:val="24"/>
          <w:lang w:eastAsia="zh-CN"/>
        </w:rPr>
      </w:pPr>
      <w:r w:rsidRPr="001062CC">
        <w:rPr>
          <w:b/>
          <w:sz w:val="24"/>
          <w:szCs w:val="24"/>
          <w:lang w:eastAsia="zh-CN"/>
        </w:rPr>
        <w:tab/>
        <w:t xml:space="preserve"> </w:t>
      </w:r>
    </w:p>
    <w:p w14:paraId="63C3DBAD" w14:textId="5A91E713" w:rsidR="00390267" w:rsidRPr="001062CC" w:rsidRDefault="00390267" w:rsidP="00390267">
      <w:pPr>
        <w:tabs>
          <w:tab w:val="left" w:pos="1985"/>
        </w:tabs>
        <w:spacing w:after="120"/>
        <w:rPr>
          <w:rFonts w:eastAsia="MS Mincho"/>
          <w:b/>
          <w:bCs/>
          <w:sz w:val="24"/>
        </w:rPr>
      </w:pPr>
      <w:r w:rsidRPr="001062CC">
        <w:rPr>
          <w:rFonts w:eastAsia="MS Mincho"/>
          <w:b/>
          <w:bCs/>
          <w:sz w:val="24"/>
        </w:rPr>
        <w:t>Agenda item:</w:t>
      </w:r>
      <w:r w:rsidRPr="001062CC">
        <w:rPr>
          <w:rFonts w:eastAsia="MS Mincho"/>
          <w:b/>
          <w:bCs/>
          <w:sz w:val="24"/>
        </w:rPr>
        <w:tab/>
        <w:t>15.</w:t>
      </w:r>
      <w:r w:rsidR="004765A8" w:rsidRPr="001062CC">
        <w:rPr>
          <w:rFonts w:eastAsia="MS Mincho"/>
          <w:b/>
          <w:bCs/>
          <w:sz w:val="24"/>
        </w:rPr>
        <w:t>3</w:t>
      </w:r>
    </w:p>
    <w:p w14:paraId="6BCF6ABD" w14:textId="77777777" w:rsidR="00390267" w:rsidRPr="001062CC" w:rsidRDefault="00390267" w:rsidP="00390267">
      <w:pPr>
        <w:tabs>
          <w:tab w:val="left" w:pos="1985"/>
        </w:tabs>
        <w:ind w:left="1985" w:hanging="1985"/>
        <w:rPr>
          <w:rFonts w:eastAsia="Times New Roman"/>
          <w:b/>
          <w:bCs/>
          <w:sz w:val="24"/>
        </w:rPr>
      </w:pPr>
      <w:r w:rsidRPr="001062CC">
        <w:rPr>
          <w:rFonts w:eastAsia="Times New Roman"/>
          <w:b/>
          <w:bCs/>
          <w:sz w:val="24"/>
        </w:rPr>
        <w:t>Source:</w:t>
      </w:r>
      <w:r w:rsidRPr="001062CC">
        <w:rPr>
          <w:rFonts w:eastAsia="Times New Roman"/>
          <w:b/>
          <w:bCs/>
          <w:sz w:val="24"/>
        </w:rPr>
        <w:tab/>
        <w:t>Qualcomm Inc.</w:t>
      </w:r>
    </w:p>
    <w:p w14:paraId="0F3ECE46" w14:textId="11F195E5" w:rsidR="00390267" w:rsidRPr="001062CC" w:rsidRDefault="00390267" w:rsidP="00390267">
      <w:pPr>
        <w:ind w:left="1985" w:hanging="1985"/>
        <w:rPr>
          <w:rFonts w:eastAsia="Times New Roman"/>
          <w:b/>
          <w:bCs/>
          <w:sz w:val="24"/>
        </w:rPr>
      </w:pPr>
      <w:r w:rsidRPr="001062CC">
        <w:rPr>
          <w:rFonts w:eastAsia="Times New Roman"/>
          <w:b/>
          <w:bCs/>
          <w:sz w:val="24"/>
        </w:rPr>
        <w:t>Title:</w:t>
      </w:r>
      <w:r w:rsidRPr="001062CC">
        <w:rPr>
          <w:rFonts w:eastAsia="Times New Roman"/>
          <w:b/>
          <w:bCs/>
          <w:sz w:val="24"/>
        </w:rPr>
        <w:tab/>
      </w:r>
      <w:r w:rsidR="00C068C5" w:rsidRPr="001062CC">
        <w:rPr>
          <w:rFonts w:eastAsia="Times New Roman"/>
          <w:b/>
          <w:bCs/>
          <w:sz w:val="24"/>
        </w:rPr>
        <w:t>RAN visible QoE</w:t>
      </w:r>
    </w:p>
    <w:p w14:paraId="777BFF69" w14:textId="77777777" w:rsidR="00390267" w:rsidRPr="001062CC" w:rsidRDefault="00390267" w:rsidP="00390267">
      <w:pPr>
        <w:ind w:left="1985" w:hanging="1985"/>
        <w:rPr>
          <w:rFonts w:eastAsia="Times New Roman"/>
          <w:b/>
          <w:bCs/>
          <w:sz w:val="24"/>
        </w:rPr>
      </w:pPr>
      <w:r w:rsidRPr="001062CC">
        <w:rPr>
          <w:rFonts w:eastAsia="Times New Roman"/>
          <w:b/>
          <w:bCs/>
          <w:sz w:val="24"/>
        </w:rPr>
        <w:t>Document for:</w:t>
      </w:r>
      <w:r w:rsidRPr="001062CC">
        <w:rPr>
          <w:rFonts w:eastAsia="Times New Roman"/>
          <w:b/>
          <w:bCs/>
          <w:sz w:val="24"/>
        </w:rPr>
        <w:tab/>
        <w:t>Discussion and Decision</w:t>
      </w:r>
    </w:p>
    <w:p w14:paraId="6B0250E2" w14:textId="1BC196C3" w:rsidR="00390267" w:rsidRDefault="00390267" w:rsidP="00390267">
      <w:pPr>
        <w:pStyle w:val="Heading1"/>
        <w:numPr>
          <w:ilvl w:val="0"/>
          <w:numId w:val="2"/>
        </w:numPr>
        <w:pBdr>
          <w:top w:val="single" w:sz="12" w:space="2" w:color="auto"/>
        </w:pBdr>
        <w:rPr>
          <w:rFonts w:ascii="Times New Roman" w:hAnsi="Times New Roman"/>
        </w:rPr>
      </w:pPr>
      <w:r w:rsidRPr="001062CC">
        <w:rPr>
          <w:rFonts w:ascii="Times New Roman" w:hAnsi="Times New Roman"/>
        </w:rPr>
        <w:t xml:space="preserve">Introduction </w:t>
      </w:r>
    </w:p>
    <w:p w14:paraId="393E61F1" w14:textId="4232EDC4" w:rsidR="00C9233A" w:rsidRPr="00A56923" w:rsidRDefault="00D75503" w:rsidP="00D75503">
      <w:r w:rsidRPr="00D75503">
        <w:rPr>
          <w:lang w:val="en-US"/>
        </w:rPr>
        <w:t xml:space="preserve">In this paper, we discuss </w:t>
      </w:r>
      <w:r>
        <w:rPr>
          <w:lang w:val="en-US"/>
        </w:rPr>
        <w:t>further on RAN Visible QoE</w:t>
      </w:r>
      <w:r w:rsidRPr="00D75503">
        <w:rPr>
          <w:lang w:val="en-US"/>
        </w:rPr>
        <w:t xml:space="preserve"> based on some agreements and open issues identified in </w:t>
      </w:r>
      <w:r>
        <w:rPr>
          <w:lang w:val="en-US"/>
        </w:rPr>
        <w:t>previous meetings.</w:t>
      </w:r>
    </w:p>
    <w:p w14:paraId="04A23FFF" w14:textId="11C62DAB" w:rsidR="00D81C03" w:rsidRDefault="00D81C03" w:rsidP="00D81C03">
      <w:pPr>
        <w:pStyle w:val="Heading1"/>
        <w:numPr>
          <w:ilvl w:val="0"/>
          <w:numId w:val="2"/>
        </w:numPr>
        <w:pBdr>
          <w:top w:val="single" w:sz="12" w:space="2" w:color="auto"/>
        </w:pBdr>
        <w:tabs>
          <w:tab w:val="num" w:pos="432"/>
        </w:tabs>
        <w:ind w:left="432" w:hanging="432"/>
        <w:rPr>
          <w:rFonts w:ascii="Times New Roman" w:hAnsi="Times New Roman"/>
        </w:rPr>
      </w:pPr>
      <w:r w:rsidRPr="001062CC">
        <w:rPr>
          <w:rFonts w:ascii="Times New Roman" w:hAnsi="Times New Roman"/>
        </w:rPr>
        <w:t>Discussion</w:t>
      </w:r>
    </w:p>
    <w:p w14:paraId="34B87A73" w14:textId="77777777" w:rsidR="00E77C2A" w:rsidRPr="001062CC" w:rsidRDefault="00E77C2A" w:rsidP="00E77C2A">
      <w:pPr>
        <w:pStyle w:val="Heading2"/>
        <w:numPr>
          <w:ilvl w:val="1"/>
          <w:numId w:val="2"/>
        </w:numPr>
        <w:tabs>
          <w:tab w:val="left" w:pos="720"/>
        </w:tabs>
        <w:rPr>
          <w:rFonts w:ascii="Times New Roman" w:hAnsi="Times New Roman"/>
        </w:rPr>
      </w:pPr>
      <w:r w:rsidRPr="001062CC">
        <w:rPr>
          <w:rFonts w:ascii="Times New Roman" w:hAnsi="Times New Roman"/>
        </w:rPr>
        <w:t xml:space="preserve">RVQOE metrics </w:t>
      </w:r>
    </w:p>
    <w:p w14:paraId="243E527D" w14:textId="77777777" w:rsidR="00E77C2A" w:rsidRPr="001062CC" w:rsidRDefault="00E77C2A" w:rsidP="00E77C2A">
      <w:pPr>
        <w:contextualSpacing/>
        <w:rPr>
          <w:rFonts w:eastAsiaTheme="minorEastAsia"/>
          <w:color w:val="00B050"/>
          <w:lang w:val="en-US" w:eastAsia="zh-CN"/>
        </w:rPr>
      </w:pPr>
      <w:r w:rsidRPr="001062CC">
        <w:rPr>
          <w:rFonts w:eastAsiaTheme="minorEastAsia"/>
          <w:color w:val="00B050"/>
          <w:lang w:val="en-US" w:eastAsia="zh-CN"/>
        </w:rPr>
        <w:t>The service types supported in the Rel17 RAN-visible QoE framework are DASH streaming and VR.</w:t>
      </w:r>
    </w:p>
    <w:p w14:paraId="05EF4E8B" w14:textId="77777777" w:rsidR="00E77C2A" w:rsidRPr="001062CC" w:rsidRDefault="00E77C2A" w:rsidP="00E77C2A">
      <w:pPr>
        <w:contextualSpacing/>
        <w:rPr>
          <w:rFonts w:eastAsiaTheme="minorEastAsia"/>
          <w:color w:val="00B050"/>
          <w:lang w:val="en-US" w:eastAsia="zh-CN"/>
        </w:rPr>
      </w:pPr>
      <w:r w:rsidRPr="001062CC">
        <w:rPr>
          <w:rFonts w:eastAsiaTheme="minorEastAsia"/>
          <w:color w:val="00B050"/>
          <w:lang w:val="en-US" w:eastAsia="zh-CN"/>
        </w:rPr>
        <w:t>The following is supported within the RVQOE framework:</w:t>
      </w:r>
    </w:p>
    <w:p w14:paraId="48A4E8C3" w14:textId="77777777" w:rsidR="00E77C2A" w:rsidRPr="001062CC" w:rsidRDefault="00E77C2A" w:rsidP="00E77C2A">
      <w:pPr>
        <w:numPr>
          <w:ilvl w:val="0"/>
          <w:numId w:val="29"/>
        </w:numPr>
        <w:contextualSpacing/>
        <w:rPr>
          <w:rFonts w:eastAsiaTheme="minorEastAsia"/>
          <w:color w:val="00B050"/>
          <w:lang w:val="en-US" w:eastAsia="zh-CN"/>
        </w:rPr>
      </w:pPr>
      <w:r w:rsidRPr="001062CC">
        <w:rPr>
          <w:rFonts w:eastAsiaTheme="minorEastAsia"/>
          <w:color w:val="00B050"/>
          <w:lang w:val="en-US" w:eastAsia="zh-CN"/>
        </w:rPr>
        <w:t>RAN-visible QoE metrics: a subset of legacy QoE metrics data collected from UE, which are useful for RAN.</w:t>
      </w:r>
    </w:p>
    <w:p w14:paraId="79825881" w14:textId="77777777" w:rsidR="00E77C2A" w:rsidRPr="00A356DE" w:rsidRDefault="00E77C2A" w:rsidP="00E77C2A">
      <w:pPr>
        <w:numPr>
          <w:ilvl w:val="0"/>
          <w:numId w:val="39"/>
        </w:numPr>
        <w:contextualSpacing/>
        <w:rPr>
          <w:rFonts w:eastAsiaTheme="minorEastAsia"/>
          <w:color w:val="4472C4" w:themeColor="accent1"/>
          <w:lang w:val="en-US" w:eastAsia="zh-CN"/>
        </w:rPr>
      </w:pPr>
      <w:r w:rsidRPr="00A356DE">
        <w:rPr>
          <w:rFonts w:eastAsiaTheme="minorEastAsia"/>
          <w:color w:val="4472C4" w:themeColor="accent1"/>
          <w:lang w:val="en-US" w:eastAsia="zh-CN"/>
        </w:rPr>
        <w:t>The following metrics continue to be considered for RVQoE metrics (no additional metrics are expected):</w:t>
      </w:r>
    </w:p>
    <w:p w14:paraId="188A3AA3" w14:textId="77777777" w:rsidR="00E77C2A" w:rsidRPr="00A356DE" w:rsidRDefault="00E77C2A" w:rsidP="00E77C2A">
      <w:pPr>
        <w:numPr>
          <w:ilvl w:val="1"/>
          <w:numId w:val="39"/>
        </w:numPr>
        <w:contextualSpacing/>
        <w:rPr>
          <w:rFonts w:eastAsiaTheme="minorEastAsia"/>
          <w:color w:val="4472C4" w:themeColor="accent1"/>
          <w:lang w:val="en-US" w:eastAsia="zh-CN"/>
        </w:rPr>
      </w:pPr>
      <w:r w:rsidRPr="00A356DE">
        <w:rPr>
          <w:rFonts w:eastAsiaTheme="minorEastAsia"/>
          <w:color w:val="4472C4" w:themeColor="accent1"/>
          <w:lang w:val="en-US" w:eastAsia="zh-CN"/>
        </w:rPr>
        <w:t>Buffer Level</w:t>
      </w:r>
    </w:p>
    <w:p w14:paraId="09F836BE" w14:textId="77777777" w:rsidR="00E77C2A" w:rsidRPr="00A356DE" w:rsidRDefault="00E77C2A" w:rsidP="00E77C2A">
      <w:pPr>
        <w:numPr>
          <w:ilvl w:val="1"/>
          <w:numId w:val="39"/>
        </w:numPr>
        <w:contextualSpacing/>
        <w:rPr>
          <w:rFonts w:eastAsiaTheme="minorEastAsia"/>
          <w:color w:val="4472C4" w:themeColor="accent1"/>
          <w:lang w:val="en-US" w:eastAsia="zh-CN"/>
        </w:rPr>
      </w:pPr>
      <w:r w:rsidRPr="00A356DE">
        <w:rPr>
          <w:rFonts w:eastAsiaTheme="minorEastAsia"/>
          <w:color w:val="4472C4" w:themeColor="accent1"/>
          <w:lang w:val="en-US" w:eastAsia="zh-CN"/>
        </w:rPr>
        <w:t>Playout Delay</w:t>
      </w:r>
    </w:p>
    <w:p w14:paraId="1258BAFE" w14:textId="77777777" w:rsidR="00E77C2A" w:rsidRPr="00A356DE" w:rsidRDefault="00E77C2A" w:rsidP="00E77C2A">
      <w:pPr>
        <w:numPr>
          <w:ilvl w:val="1"/>
          <w:numId w:val="39"/>
        </w:numPr>
        <w:contextualSpacing/>
        <w:rPr>
          <w:rFonts w:eastAsiaTheme="minorEastAsia"/>
          <w:color w:val="4472C4" w:themeColor="accent1"/>
          <w:lang w:val="en-US" w:eastAsia="zh-CN"/>
        </w:rPr>
      </w:pPr>
      <w:r w:rsidRPr="00A356DE">
        <w:rPr>
          <w:rFonts w:eastAsiaTheme="minorEastAsia"/>
          <w:color w:val="4472C4" w:themeColor="accent1"/>
          <w:lang w:val="en-US" w:eastAsia="zh-CN"/>
        </w:rPr>
        <w:t>FFS: Play List (simplified version)</w:t>
      </w:r>
    </w:p>
    <w:p w14:paraId="710A5CF1" w14:textId="77777777" w:rsidR="00E77C2A" w:rsidRDefault="00E77C2A" w:rsidP="00E77C2A">
      <w:pPr>
        <w:numPr>
          <w:ilvl w:val="1"/>
          <w:numId w:val="39"/>
        </w:numPr>
        <w:contextualSpacing/>
        <w:rPr>
          <w:rFonts w:eastAsiaTheme="minorEastAsia"/>
          <w:color w:val="4472C4" w:themeColor="accent1"/>
          <w:lang w:val="en-US" w:eastAsia="zh-CN"/>
        </w:rPr>
      </w:pPr>
      <w:r w:rsidRPr="00A356DE">
        <w:rPr>
          <w:rFonts w:eastAsiaTheme="minorEastAsia"/>
          <w:color w:val="4472C4" w:themeColor="accent1"/>
          <w:lang w:val="en-US" w:eastAsia="zh-CN"/>
        </w:rPr>
        <w:t>To be discussed: Buffer Level Alarm, Interaction latency (VR only).</w:t>
      </w:r>
    </w:p>
    <w:p w14:paraId="359C6C02" w14:textId="77777777" w:rsidR="00E77C2A" w:rsidRDefault="00E77C2A" w:rsidP="00E77C2A">
      <w:pPr>
        <w:contextualSpacing/>
        <w:rPr>
          <w:rFonts w:eastAsiaTheme="minorEastAsia"/>
          <w:color w:val="4472C4" w:themeColor="accent1"/>
          <w:lang w:val="en-US" w:eastAsia="zh-CN"/>
        </w:rPr>
      </w:pPr>
    </w:p>
    <w:p w14:paraId="4CE85647" w14:textId="77777777" w:rsidR="00E77C2A" w:rsidRPr="0052732A" w:rsidRDefault="00E77C2A" w:rsidP="00E77C2A">
      <w:pPr>
        <w:contextualSpacing/>
        <w:rPr>
          <w:rFonts w:eastAsiaTheme="minorEastAsia"/>
          <w:lang w:val="en-US" w:eastAsia="zh-CN"/>
        </w:rPr>
      </w:pPr>
      <w:r w:rsidRPr="0052732A">
        <w:rPr>
          <w:rFonts w:eastAsiaTheme="minorEastAsia"/>
          <w:lang w:val="en-US" w:eastAsia="zh-CN"/>
        </w:rPr>
        <w:t>Detailed evaluation of all RVQoE metrics is available in the Appendix.</w:t>
      </w:r>
    </w:p>
    <w:p w14:paraId="0842BB90" w14:textId="77777777" w:rsidR="00E77C2A" w:rsidRDefault="00E77C2A" w:rsidP="00E77C2A">
      <w:pPr>
        <w:contextualSpacing/>
        <w:rPr>
          <w:rFonts w:eastAsiaTheme="minorEastAsia"/>
          <w:color w:val="4472C4" w:themeColor="accent1"/>
          <w:lang w:val="en-US" w:eastAsia="zh-CN"/>
        </w:rPr>
      </w:pPr>
    </w:p>
    <w:p w14:paraId="032227A8" w14:textId="4905316F" w:rsidR="00E77C2A" w:rsidRPr="00AC3FA0" w:rsidRDefault="00E77C2A" w:rsidP="00E77C2A">
      <w:pPr>
        <w:contextualSpacing/>
        <w:rPr>
          <w:rFonts w:eastAsiaTheme="minorEastAsia"/>
          <w:lang w:val="en-US" w:eastAsia="zh-CN"/>
        </w:rPr>
      </w:pPr>
      <w:r w:rsidRPr="00AC3FA0">
        <w:rPr>
          <w:rFonts w:eastAsiaTheme="minorEastAsia"/>
          <w:b/>
          <w:bCs/>
          <w:lang w:val="en-US" w:eastAsia="zh-CN"/>
        </w:rPr>
        <w:t>Proposal</w:t>
      </w:r>
      <w:r>
        <w:rPr>
          <w:rFonts w:eastAsiaTheme="minorEastAsia"/>
          <w:b/>
          <w:bCs/>
          <w:lang w:val="en-US" w:eastAsia="zh-CN"/>
        </w:rPr>
        <w:t xml:space="preserve"> </w:t>
      </w:r>
      <w:r w:rsidR="00F473B7">
        <w:rPr>
          <w:rFonts w:eastAsiaTheme="minorEastAsia"/>
          <w:b/>
          <w:bCs/>
          <w:lang w:val="en-US" w:eastAsia="zh-CN"/>
        </w:rPr>
        <w:t>1</w:t>
      </w:r>
      <w:r w:rsidRPr="00AC3FA0">
        <w:rPr>
          <w:rFonts w:eastAsiaTheme="minorEastAsia"/>
          <w:lang w:val="en-US" w:eastAsia="zh-CN"/>
        </w:rPr>
        <w:t>: Buffer level and Playout Delay can be considered as RVQOE metrics for DASH and VR services.</w:t>
      </w:r>
    </w:p>
    <w:p w14:paraId="50580F2E" w14:textId="77777777" w:rsidR="00E77C2A" w:rsidRDefault="00E77C2A" w:rsidP="00E77C2A">
      <w:pPr>
        <w:contextualSpacing/>
        <w:rPr>
          <w:b/>
          <w:bCs/>
        </w:rPr>
      </w:pPr>
    </w:p>
    <w:p w14:paraId="5D4B2590" w14:textId="77777777" w:rsidR="00E77C2A" w:rsidRPr="006241E5" w:rsidRDefault="00E77C2A" w:rsidP="00E77C2A">
      <w:pPr>
        <w:contextualSpacing/>
        <w:rPr>
          <w:rFonts w:eastAsiaTheme="minorEastAsia"/>
          <w:lang w:val="en-US" w:eastAsia="zh-CN"/>
        </w:rPr>
      </w:pPr>
      <w:r w:rsidRPr="006241E5">
        <w:rPr>
          <w:rFonts w:eastAsiaTheme="minorEastAsia"/>
          <w:lang w:val="en-US" w:eastAsia="zh-CN"/>
        </w:rPr>
        <w:t>In last meeting, a buffer level alarm (derived from buffer level) was proposed as a potential RVQoE metric. The idea is that if the application client can determine if that the buffer level falls below an "alarm" level (defined by a second threshold, lower than the one used for nominal E2E flow control) and indicate it to the NG-RAN via RVQoE report. In our view defining this “alarm threshold” is same as defining a RVQoE value which is the qualitative representation of a RVQoE metric. Please refer to section 2.8 for further discussion on RVQoE values.</w:t>
      </w:r>
    </w:p>
    <w:p w14:paraId="26ECEB97" w14:textId="77777777" w:rsidR="00E77C2A" w:rsidRPr="006241E5" w:rsidRDefault="00E77C2A" w:rsidP="00E77C2A">
      <w:pPr>
        <w:contextualSpacing/>
        <w:rPr>
          <w:rFonts w:eastAsiaTheme="minorEastAsia"/>
          <w:lang w:val="en-US" w:eastAsia="zh-CN"/>
        </w:rPr>
      </w:pPr>
    </w:p>
    <w:p w14:paraId="6A16D75F" w14:textId="0CA2EDC2" w:rsidR="00E77C2A" w:rsidRPr="006241E5" w:rsidRDefault="00E77C2A" w:rsidP="00E77C2A">
      <w:pPr>
        <w:contextualSpacing/>
        <w:rPr>
          <w:rFonts w:eastAsiaTheme="minorEastAsia"/>
          <w:lang w:val="en-US" w:eastAsia="zh-CN"/>
        </w:rPr>
      </w:pPr>
      <w:r w:rsidRPr="006241E5">
        <w:rPr>
          <w:rFonts w:eastAsiaTheme="minorEastAsia"/>
          <w:b/>
          <w:bCs/>
          <w:lang w:val="en-US" w:eastAsia="zh-CN"/>
        </w:rPr>
        <w:t>Observation</w:t>
      </w:r>
      <w:r>
        <w:rPr>
          <w:rFonts w:eastAsiaTheme="minorEastAsia"/>
          <w:b/>
          <w:bCs/>
          <w:lang w:val="en-US" w:eastAsia="zh-CN"/>
        </w:rPr>
        <w:t xml:space="preserve"> </w:t>
      </w:r>
      <w:r w:rsidR="00F473B7">
        <w:rPr>
          <w:rFonts w:eastAsiaTheme="minorEastAsia"/>
          <w:b/>
          <w:bCs/>
          <w:lang w:val="en-US" w:eastAsia="zh-CN"/>
        </w:rPr>
        <w:t>1</w:t>
      </w:r>
      <w:r w:rsidRPr="006241E5">
        <w:rPr>
          <w:rFonts w:eastAsiaTheme="minorEastAsia"/>
          <w:lang w:val="en-US" w:eastAsia="zh-CN"/>
        </w:rPr>
        <w:t>: Defining a buffer level alarm indication instead of reporting an absolute buffer level seems to be under the scope of RVQoE value</w:t>
      </w:r>
      <w:r>
        <w:rPr>
          <w:rFonts w:eastAsiaTheme="minorEastAsia"/>
          <w:lang w:val="en-US" w:eastAsia="zh-CN"/>
        </w:rPr>
        <w:t>s</w:t>
      </w:r>
      <w:r w:rsidRPr="006241E5">
        <w:rPr>
          <w:rFonts w:eastAsiaTheme="minorEastAsia"/>
          <w:lang w:val="en-US" w:eastAsia="zh-CN"/>
        </w:rPr>
        <w:t xml:space="preserve"> where UE can represent qualitative representation of RVQoE metrics.</w:t>
      </w:r>
    </w:p>
    <w:p w14:paraId="09513759" w14:textId="77777777" w:rsidR="00E77C2A" w:rsidRPr="006241E5" w:rsidRDefault="00E77C2A" w:rsidP="00E77C2A">
      <w:pPr>
        <w:contextualSpacing/>
        <w:rPr>
          <w:rFonts w:eastAsiaTheme="minorEastAsia"/>
          <w:lang w:val="en-US" w:eastAsia="zh-CN"/>
        </w:rPr>
      </w:pPr>
    </w:p>
    <w:p w14:paraId="0BC51106" w14:textId="34C60536" w:rsidR="00E77C2A" w:rsidRPr="006241E5" w:rsidRDefault="00E77C2A" w:rsidP="00E77C2A">
      <w:pPr>
        <w:contextualSpacing/>
        <w:rPr>
          <w:rFonts w:eastAsiaTheme="minorEastAsia"/>
          <w:lang w:val="en-US" w:eastAsia="zh-CN"/>
        </w:rPr>
      </w:pPr>
      <w:r w:rsidRPr="006241E5">
        <w:rPr>
          <w:rFonts w:eastAsiaTheme="minorEastAsia"/>
          <w:b/>
          <w:bCs/>
          <w:lang w:val="en-US" w:eastAsia="zh-CN"/>
        </w:rPr>
        <w:t>Proposal</w:t>
      </w:r>
      <w:r>
        <w:rPr>
          <w:rFonts w:eastAsiaTheme="minorEastAsia"/>
          <w:b/>
          <w:bCs/>
          <w:lang w:val="en-US" w:eastAsia="zh-CN"/>
        </w:rPr>
        <w:t xml:space="preserve"> </w:t>
      </w:r>
      <w:r w:rsidR="00F473B7">
        <w:rPr>
          <w:rFonts w:eastAsiaTheme="minorEastAsia"/>
          <w:b/>
          <w:bCs/>
          <w:lang w:val="en-US" w:eastAsia="zh-CN"/>
        </w:rPr>
        <w:t>2</w:t>
      </w:r>
      <w:r w:rsidRPr="006241E5">
        <w:rPr>
          <w:rFonts w:eastAsiaTheme="minorEastAsia"/>
          <w:lang w:val="en-US" w:eastAsia="zh-CN"/>
        </w:rPr>
        <w:t>: The discussion on whether to define a buffer level alarm should happen under RVQoE values as this is a qualitative representation of a RVQoE metric and not an absolute value.</w:t>
      </w:r>
    </w:p>
    <w:p w14:paraId="222AD5CB" w14:textId="77777777" w:rsidR="00E77C2A" w:rsidRDefault="00E77C2A" w:rsidP="00E77C2A">
      <w:pPr>
        <w:contextualSpacing/>
        <w:rPr>
          <w:rFonts w:eastAsiaTheme="minorEastAsia"/>
          <w:color w:val="4472C4" w:themeColor="accent1"/>
          <w:lang w:val="en-US" w:eastAsia="zh-CN"/>
        </w:rPr>
      </w:pPr>
    </w:p>
    <w:p w14:paraId="60589294" w14:textId="6646BB3B" w:rsidR="00E77C2A" w:rsidRDefault="00E77C2A" w:rsidP="00E77C2A">
      <w:pPr>
        <w:contextualSpacing/>
        <w:rPr>
          <w:rFonts w:eastAsiaTheme="minorEastAsia"/>
          <w:lang w:val="en-US" w:eastAsia="zh-CN"/>
        </w:rPr>
      </w:pPr>
      <w:r w:rsidRPr="002567B9">
        <w:rPr>
          <w:b/>
          <w:bCs/>
        </w:rPr>
        <w:t>Observation</w:t>
      </w:r>
      <w:r>
        <w:rPr>
          <w:b/>
          <w:bCs/>
        </w:rPr>
        <w:t xml:space="preserve"> </w:t>
      </w:r>
      <w:r w:rsidR="00F473B7">
        <w:rPr>
          <w:b/>
          <w:bCs/>
        </w:rPr>
        <w:t>2</w:t>
      </w:r>
      <w:r>
        <w:rPr>
          <w:b/>
          <w:bCs/>
        </w:rPr>
        <w:t>:</w:t>
      </w:r>
      <w:r>
        <w:t xml:space="preserve"> Reporting the QoE metrics “VR Interaction Latency” and “Play List” by UE seems cumbersome as it includes a lot of information elements. </w:t>
      </w:r>
    </w:p>
    <w:p w14:paraId="40FC1CB2" w14:textId="77777777" w:rsidR="00E77C2A" w:rsidRDefault="00E77C2A" w:rsidP="00E77C2A">
      <w:pPr>
        <w:contextualSpacing/>
        <w:rPr>
          <w:b/>
          <w:bCs/>
        </w:rPr>
      </w:pPr>
    </w:p>
    <w:p w14:paraId="22E5A5D8" w14:textId="374ED2A7" w:rsidR="00E77C2A" w:rsidRDefault="00E77C2A" w:rsidP="00E77C2A">
      <w:pPr>
        <w:contextualSpacing/>
        <w:rPr>
          <w:rFonts w:eastAsiaTheme="minorEastAsia"/>
          <w:lang w:val="en-US" w:eastAsia="zh-CN"/>
        </w:rPr>
      </w:pPr>
      <w:r w:rsidRPr="00EA5951">
        <w:rPr>
          <w:b/>
          <w:bCs/>
        </w:rPr>
        <w:t>Proposal</w:t>
      </w:r>
      <w:r>
        <w:rPr>
          <w:b/>
          <w:bCs/>
        </w:rPr>
        <w:t xml:space="preserve"> </w:t>
      </w:r>
      <w:r w:rsidR="00F473B7">
        <w:rPr>
          <w:b/>
          <w:bCs/>
        </w:rPr>
        <w:t>3</w:t>
      </w:r>
      <w:r w:rsidRPr="00EA5951">
        <w:rPr>
          <w:b/>
          <w:bCs/>
        </w:rPr>
        <w:t>:</w:t>
      </w:r>
      <w:r>
        <w:t xml:space="preserve"> </w:t>
      </w:r>
      <w:r w:rsidRPr="001551AD">
        <w:t xml:space="preserve">VR Interaction Latency </w:t>
      </w:r>
      <w:r>
        <w:t>and Play List seems a lot of signalling overhead in RRC and should not be considered as RVQOE metrics for Rel-17</w:t>
      </w:r>
    </w:p>
    <w:p w14:paraId="5F180664" w14:textId="77777777" w:rsidR="00E77C2A" w:rsidRDefault="00E77C2A" w:rsidP="00E77C2A">
      <w:pPr>
        <w:contextualSpacing/>
        <w:rPr>
          <w:rFonts w:eastAsiaTheme="minorEastAsia"/>
          <w:color w:val="4472C4" w:themeColor="accent1"/>
          <w:lang w:val="en-US" w:eastAsia="zh-CN"/>
        </w:rPr>
      </w:pPr>
    </w:p>
    <w:p w14:paraId="37BA09A3" w14:textId="77777777" w:rsidR="00E77C2A" w:rsidRPr="001062CC" w:rsidRDefault="00E77C2A" w:rsidP="00E77C2A">
      <w:pPr>
        <w:contextualSpacing/>
        <w:rPr>
          <w:rFonts w:eastAsiaTheme="minorEastAsia"/>
          <w:color w:val="4472C4" w:themeColor="accent1"/>
          <w:lang w:val="en-US" w:eastAsia="zh-CN"/>
        </w:rPr>
      </w:pPr>
      <w:r>
        <w:lastRenderedPageBreak/>
        <w:t>In previous meetings, a simplified version of Play List (e.g., a</w:t>
      </w:r>
      <w:r w:rsidRPr="005B3657">
        <w:t xml:space="preserve">n indication from the application to the </w:t>
      </w:r>
      <w:r>
        <w:t>AS</w:t>
      </w:r>
      <w:r w:rsidRPr="005B3657">
        <w:t xml:space="preserve"> whenever the video representation change</w:t>
      </w:r>
      <w:r>
        <w:t>s,</w:t>
      </w:r>
      <w:r w:rsidRPr="005B3657">
        <w:t xml:space="preserve"> or the video stalls</w:t>
      </w:r>
      <w:r>
        <w:t>) was proposed. But that also can cause too much signaling overhead if the video representation changes or video stalls are quite frequent.</w:t>
      </w:r>
    </w:p>
    <w:p w14:paraId="0313EEA4" w14:textId="10E5DA06" w:rsidR="00E207CA" w:rsidRDefault="0000693F" w:rsidP="00E207CA">
      <w:pPr>
        <w:pStyle w:val="Heading2"/>
        <w:numPr>
          <w:ilvl w:val="1"/>
          <w:numId w:val="2"/>
        </w:numPr>
        <w:tabs>
          <w:tab w:val="left" w:pos="720"/>
        </w:tabs>
        <w:rPr>
          <w:rFonts w:ascii="Times New Roman" w:hAnsi="Times New Roman"/>
        </w:rPr>
      </w:pPr>
      <w:r>
        <w:rPr>
          <w:rFonts w:ascii="Times New Roman" w:hAnsi="Times New Roman"/>
        </w:rPr>
        <w:t>RVQoE</w:t>
      </w:r>
      <w:r w:rsidR="00045A6F">
        <w:rPr>
          <w:rFonts w:ascii="Times New Roman" w:hAnsi="Times New Roman"/>
        </w:rPr>
        <w:t xml:space="preserve"> priority w.r.t. legacy QoE</w:t>
      </w:r>
    </w:p>
    <w:p w14:paraId="6C2BD3E5" w14:textId="77777777" w:rsidR="00F9317D" w:rsidRPr="00F9317D" w:rsidRDefault="00F9317D" w:rsidP="00F9317D">
      <w:pPr>
        <w:contextualSpacing/>
        <w:rPr>
          <w:color w:val="00B050"/>
          <w:lang w:eastAsia="x-none"/>
        </w:rPr>
      </w:pPr>
      <w:r w:rsidRPr="00F9317D">
        <w:rPr>
          <w:color w:val="00B050"/>
          <w:lang w:eastAsia="x-none"/>
        </w:rPr>
        <w:t>The RAN decides whether RVQOE measurement collection and reporting is activated</w:t>
      </w:r>
    </w:p>
    <w:p w14:paraId="686CFC10" w14:textId="77777777" w:rsidR="00F9317D" w:rsidRPr="00F9317D" w:rsidRDefault="00F9317D" w:rsidP="00F9317D">
      <w:pPr>
        <w:contextualSpacing/>
        <w:rPr>
          <w:color w:val="00B050"/>
          <w:lang w:eastAsia="x-none"/>
        </w:rPr>
      </w:pPr>
      <w:r w:rsidRPr="00F9317D">
        <w:rPr>
          <w:color w:val="00B050"/>
          <w:lang w:eastAsia="x-none"/>
        </w:rPr>
        <w:t>ID used to identify QoE measurements is reused for identifying the RVQoE measurements</w:t>
      </w:r>
    </w:p>
    <w:p w14:paraId="059D5EAB" w14:textId="047C9CB6" w:rsidR="00F9317D" w:rsidRDefault="00F9317D" w:rsidP="00F9317D">
      <w:pPr>
        <w:contextualSpacing/>
        <w:rPr>
          <w:color w:val="00B050"/>
          <w:lang w:eastAsia="x-none"/>
        </w:rPr>
      </w:pPr>
      <w:r w:rsidRPr="00F9317D">
        <w:rPr>
          <w:color w:val="00B050"/>
          <w:lang w:eastAsia="x-none"/>
        </w:rPr>
        <w:t>RVQoE collection can be configured only if legacy QoE measurements are configured for the same service type</w:t>
      </w:r>
    </w:p>
    <w:p w14:paraId="6BE79A68" w14:textId="77777777" w:rsidR="006119BD" w:rsidRPr="003E0C3C" w:rsidRDefault="006119BD" w:rsidP="006119BD">
      <w:pPr>
        <w:contextualSpacing/>
        <w:rPr>
          <w:color w:val="00B050"/>
          <w:lang w:eastAsia="x-none"/>
        </w:rPr>
      </w:pPr>
      <w:r w:rsidRPr="003E0C3C">
        <w:rPr>
          <w:color w:val="00B050"/>
          <w:lang w:eastAsia="x-none"/>
        </w:rPr>
        <w:t>RVQoE report is provided inside a dedicated IE, outside the QoE report container</w:t>
      </w:r>
    </w:p>
    <w:p w14:paraId="2F1B6EF5" w14:textId="77777777" w:rsidR="006119BD" w:rsidRPr="003E0C3C" w:rsidRDefault="006119BD" w:rsidP="006119BD">
      <w:pPr>
        <w:contextualSpacing/>
        <w:rPr>
          <w:color w:val="00B050"/>
          <w:lang w:eastAsia="x-none"/>
        </w:rPr>
      </w:pPr>
      <w:r w:rsidRPr="003E0C3C">
        <w:rPr>
          <w:color w:val="00B050"/>
          <w:lang w:eastAsia="x-none"/>
        </w:rPr>
        <w:t>Send an LS asking RAN2 whether RVQOE metric can be reported over high-priority SRB (SRB1, SRB3) or whether low-priority SRB (SRB4?) should be used</w:t>
      </w:r>
    </w:p>
    <w:p w14:paraId="27001620" w14:textId="4CB66B9D" w:rsidR="006119BD" w:rsidRPr="001062CC" w:rsidRDefault="006119BD" w:rsidP="006119BD">
      <w:pPr>
        <w:contextualSpacing/>
        <w:rPr>
          <w:color w:val="00B050"/>
          <w:lang w:eastAsia="x-none"/>
        </w:rPr>
      </w:pPr>
      <w:r w:rsidRPr="001062CC">
        <w:rPr>
          <w:color w:val="00B050"/>
          <w:lang w:eastAsia="x-none"/>
        </w:rPr>
        <w:t>The gNB-CU may signal RVQoE report to gNB-DU over F1</w:t>
      </w:r>
    </w:p>
    <w:p w14:paraId="495D89B0" w14:textId="77777777" w:rsidR="006119BD" w:rsidRDefault="006119BD" w:rsidP="006119BD">
      <w:pPr>
        <w:contextualSpacing/>
        <w:rPr>
          <w:color w:val="4472C4" w:themeColor="accent1"/>
          <w:lang w:eastAsia="x-none"/>
        </w:rPr>
      </w:pPr>
      <w:r w:rsidRPr="001062CC">
        <w:rPr>
          <w:color w:val="4472C4" w:themeColor="accent1"/>
          <w:lang w:eastAsia="x-none"/>
        </w:rPr>
        <w:t>FFS whether RVQoE and legacy QoE can be reported separately</w:t>
      </w:r>
    </w:p>
    <w:p w14:paraId="3B94A6A4" w14:textId="77777777" w:rsidR="006119BD" w:rsidRDefault="006119BD" w:rsidP="00F9317D">
      <w:pPr>
        <w:contextualSpacing/>
        <w:rPr>
          <w:color w:val="00B050"/>
          <w:lang w:eastAsia="x-none"/>
        </w:rPr>
      </w:pPr>
    </w:p>
    <w:p w14:paraId="28D104B0" w14:textId="77777777" w:rsidR="00F9317D" w:rsidRPr="00F9317D" w:rsidRDefault="00F9317D" w:rsidP="00F9317D">
      <w:pPr>
        <w:contextualSpacing/>
        <w:rPr>
          <w:color w:val="00B050"/>
          <w:lang w:eastAsia="x-none"/>
        </w:rPr>
      </w:pPr>
    </w:p>
    <w:p w14:paraId="05A868B2" w14:textId="2265D2C7" w:rsidR="001458A2" w:rsidRPr="002B2D4F" w:rsidRDefault="001458A2" w:rsidP="001458A2">
      <w:pPr>
        <w:rPr>
          <w:rFonts w:eastAsiaTheme="minorEastAsia"/>
          <w:color w:val="000000" w:themeColor="text1"/>
          <w:lang w:val="en-US" w:eastAsia="zh-CN"/>
        </w:rPr>
      </w:pPr>
      <w:r>
        <w:rPr>
          <w:rFonts w:eastAsiaTheme="minorEastAsia"/>
          <w:color w:val="000000" w:themeColor="text1"/>
          <w:lang w:val="en-US" w:eastAsia="zh-CN"/>
        </w:rPr>
        <w:t xml:space="preserve">Before we discuss the RVQOE </w:t>
      </w:r>
      <w:r w:rsidR="004F4B6E">
        <w:rPr>
          <w:rFonts w:eastAsiaTheme="minorEastAsia"/>
          <w:color w:val="000000" w:themeColor="text1"/>
          <w:lang w:val="en-US" w:eastAsia="zh-CN"/>
        </w:rPr>
        <w:t xml:space="preserve">metrics, RVQoE </w:t>
      </w:r>
      <w:r>
        <w:rPr>
          <w:rFonts w:eastAsiaTheme="minorEastAsia"/>
          <w:color w:val="000000" w:themeColor="text1"/>
          <w:lang w:val="en-US" w:eastAsia="zh-CN"/>
        </w:rPr>
        <w:t>configuration</w:t>
      </w:r>
      <w:r w:rsidR="004F4B6E">
        <w:rPr>
          <w:rFonts w:eastAsiaTheme="minorEastAsia"/>
          <w:color w:val="000000" w:themeColor="text1"/>
          <w:lang w:val="en-US" w:eastAsia="zh-CN"/>
        </w:rPr>
        <w:t>/</w:t>
      </w:r>
      <w:r>
        <w:rPr>
          <w:rFonts w:eastAsiaTheme="minorEastAsia"/>
          <w:color w:val="000000" w:themeColor="text1"/>
          <w:lang w:val="en-US" w:eastAsia="zh-CN"/>
        </w:rPr>
        <w:t xml:space="preserve">reporting </w:t>
      </w:r>
      <w:r w:rsidR="004F4B6E">
        <w:rPr>
          <w:rFonts w:eastAsiaTheme="minorEastAsia"/>
          <w:color w:val="000000" w:themeColor="text1"/>
          <w:lang w:val="en-US" w:eastAsia="zh-CN"/>
        </w:rPr>
        <w:t xml:space="preserve">and other </w:t>
      </w:r>
      <w:r>
        <w:rPr>
          <w:rFonts w:eastAsiaTheme="minorEastAsia"/>
          <w:color w:val="000000" w:themeColor="text1"/>
          <w:lang w:val="en-US" w:eastAsia="zh-CN"/>
        </w:rPr>
        <w:t>aspects, we must establish some common understanding and principles for RVQOE. Two options are tabulated below.</w:t>
      </w:r>
    </w:p>
    <w:tbl>
      <w:tblPr>
        <w:tblStyle w:val="TableGrid"/>
        <w:tblW w:w="0" w:type="auto"/>
        <w:tblLook w:val="04A0" w:firstRow="1" w:lastRow="0" w:firstColumn="1" w:lastColumn="0" w:noHBand="0" w:noVBand="1"/>
      </w:tblPr>
      <w:tblGrid>
        <w:gridCol w:w="4695"/>
        <w:gridCol w:w="4645"/>
      </w:tblGrid>
      <w:tr w:rsidR="001458A2" w14:paraId="670D5C74" w14:textId="77777777" w:rsidTr="005E1568">
        <w:tc>
          <w:tcPr>
            <w:tcW w:w="4695" w:type="dxa"/>
            <w:hideMark/>
          </w:tcPr>
          <w:p w14:paraId="28C51B97" w14:textId="77777777" w:rsidR="001458A2" w:rsidRDefault="001458A2" w:rsidP="00F714C4">
            <w:pPr>
              <w:jc w:val="center"/>
              <w:rPr>
                <w:rFonts w:eastAsiaTheme="minorHAnsi"/>
                <w:b/>
                <w:bCs/>
                <w:lang w:val="en-US"/>
              </w:rPr>
            </w:pPr>
            <w:r>
              <w:rPr>
                <w:b/>
                <w:bCs/>
              </w:rPr>
              <w:t>Option 1 (</w:t>
            </w:r>
            <w:r w:rsidRPr="004C6A5A">
              <w:rPr>
                <w:b/>
                <w:bCs/>
                <w:color w:val="00B050"/>
              </w:rPr>
              <w:t>Qualcomm’s preference</w:t>
            </w:r>
            <w:r>
              <w:rPr>
                <w:b/>
                <w:bCs/>
              </w:rPr>
              <w:t>)</w:t>
            </w:r>
          </w:p>
        </w:tc>
        <w:tc>
          <w:tcPr>
            <w:tcW w:w="4645" w:type="dxa"/>
            <w:hideMark/>
          </w:tcPr>
          <w:p w14:paraId="2CC0446A" w14:textId="77777777" w:rsidR="001458A2" w:rsidRDefault="001458A2" w:rsidP="00F714C4">
            <w:pPr>
              <w:jc w:val="center"/>
              <w:rPr>
                <w:b/>
                <w:bCs/>
              </w:rPr>
            </w:pPr>
            <w:r>
              <w:rPr>
                <w:b/>
                <w:bCs/>
              </w:rPr>
              <w:t>Option 2</w:t>
            </w:r>
          </w:p>
        </w:tc>
      </w:tr>
      <w:tr w:rsidR="001458A2" w14:paraId="72ED3770" w14:textId="77777777" w:rsidTr="005E1568">
        <w:tc>
          <w:tcPr>
            <w:tcW w:w="4695" w:type="dxa"/>
            <w:hideMark/>
          </w:tcPr>
          <w:p w14:paraId="4C5EFA6A" w14:textId="77777777" w:rsidR="007F7216" w:rsidRDefault="001458A2" w:rsidP="00F714C4">
            <w:r>
              <w:t xml:space="preserve">RVQOE has the </w:t>
            </w:r>
            <w:r w:rsidRPr="0013445D">
              <w:rPr>
                <w:b/>
                <w:bCs/>
              </w:rPr>
              <w:t>same priority</w:t>
            </w:r>
            <w:r>
              <w:t xml:space="preserve"> as legacy QoE. The main purpose of RVQOE is to expose QoE metrics to RAN and not </w:t>
            </w:r>
            <w:r w:rsidR="00C573B8">
              <w:t xml:space="preserve">primarily </w:t>
            </w:r>
            <w:r>
              <w:t xml:space="preserve">for enabling QoE aware real-time </w:t>
            </w:r>
            <w:r w:rsidR="00C573B8">
              <w:t>use cases</w:t>
            </w:r>
            <w:r>
              <w:t>.</w:t>
            </w:r>
            <w:r w:rsidR="00963941">
              <w:t xml:space="preserve"> </w:t>
            </w:r>
          </w:p>
          <w:p w14:paraId="06A0AA58" w14:textId="34C9F04D" w:rsidR="001458A2" w:rsidRDefault="00C573B8" w:rsidP="00F714C4">
            <w:r>
              <w:t xml:space="preserve">Similar to legacy QoE, </w:t>
            </w:r>
            <w:r w:rsidR="00963941" w:rsidRPr="00963941">
              <w:t xml:space="preserve">RVQOE </w:t>
            </w:r>
            <w:r>
              <w:t>can be</w:t>
            </w:r>
            <w:r w:rsidR="00963941">
              <w:t xml:space="preserve"> used </w:t>
            </w:r>
            <w:r w:rsidR="00845A66">
              <w:t xml:space="preserve">for </w:t>
            </w:r>
            <w:r w:rsidR="00963941" w:rsidRPr="00963941">
              <w:t>historical/statistical/non-real time use</w:t>
            </w:r>
            <w:r w:rsidR="00FF3452">
              <w:t xml:space="preserve"> case</w:t>
            </w:r>
            <w:r w:rsidR="007F7216">
              <w:t xml:space="preserve">s. </w:t>
            </w:r>
          </w:p>
        </w:tc>
        <w:tc>
          <w:tcPr>
            <w:tcW w:w="4645" w:type="dxa"/>
            <w:hideMark/>
          </w:tcPr>
          <w:p w14:paraId="5CB3A5D1" w14:textId="1ACD0A41" w:rsidR="001458A2" w:rsidRDefault="001458A2" w:rsidP="00F714C4">
            <w:r>
              <w:t xml:space="preserve">RVQOE has </w:t>
            </w:r>
            <w:r w:rsidRPr="0013445D">
              <w:rPr>
                <w:b/>
                <w:bCs/>
              </w:rPr>
              <w:t>higher priority</w:t>
            </w:r>
            <w:r>
              <w:t xml:space="preserve"> compared to legacy QoE. RVQOE metrics must be reported more frequently</w:t>
            </w:r>
            <w:r w:rsidR="00E73370">
              <w:t xml:space="preserve"> </w:t>
            </w:r>
            <w:r>
              <w:t xml:space="preserve">compared to legacy QoE </w:t>
            </w:r>
            <w:r w:rsidR="00E73370">
              <w:t xml:space="preserve">for enabling </w:t>
            </w:r>
            <w:r w:rsidR="00E73370" w:rsidRPr="00E73370">
              <w:rPr>
                <w:b/>
                <w:bCs/>
              </w:rPr>
              <w:t>real-time use cases</w:t>
            </w:r>
            <w:r w:rsidR="00EB3E92" w:rsidRPr="00EB3E92">
              <w:t xml:space="preserve"> (e.g., </w:t>
            </w:r>
            <w:r w:rsidR="00C0373E">
              <w:t xml:space="preserve">QoE aware </w:t>
            </w:r>
            <w:r w:rsidR="00EB3E92" w:rsidRPr="00EB3E92">
              <w:t>scheduling decisions)</w:t>
            </w:r>
          </w:p>
        </w:tc>
      </w:tr>
      <w:tr w:rsidR="00EC212C" w14:paraId="027FBDD5" w14:textId="77777777" w:rsidTr="00F714C4">
        <w:tc>
          <w:tcPr>
            <w:tcW w:w="4695" w:type="dxa"/>
          </w:tcPr>
          <w:p w14:paraId="5BA88650" w14:textId="77777777" w:rsidR="00EC212C" w:rsidRDefault="00EC212C" w:rsidP="00F714C4">
            <w:r>
              <w:t>SRB4 can be reused for RVQoE (similar as legacy QoE)</w:t>
            </w:r>
          </w:p>
        </w:tc>
        <w:tc>
          <w:tcPr>
            <w:tcW w:w="4645" w:type="dxa"/>
          </w:tcPr>
          <w:p w14:paraId="6B359AC7" w14:textId="77777777" w:rsidR="00EC212C" w:rsidRDefault="00EC212C" w:rsidP="00F714C4">
            <w:r>
              <w:t>RAN2 needs to support SRB1/2 (high priority SRB) for real-time use cases</w:t>
            </w:r>
          </w:p>
        </w:tc>
      </w:tr>
      <w:tr w:rsidR="001458A2" w14:paraId="4EF9335B" w14:textId="77777777" w:rsidTr="005E1568">
        <w:tc>
          <w:tcPr>
            <w:tcW w:w="4695" w:type="dxa"/>
            <w:hideMark/>
          </w:tcPr>
          <w:p w14:paraId="1174AED7" w14:textId="0365A59A" w:rsidR="001458A2" w:rsidRDefault="001458A2" w:rsidP="00F714C4">
            <w:r>
              <w:t xml:space="preserve">RVQOE and legacy QoE are reported </w:t>
            </w:r>
            <w:r w:rsidRPr="005E1568">
              <w:rPr>
                <w:b/>
                <w:bCs/>
              </w:rPr>
              <w:t>together</w:t>
            </w:r>
          </w:p>
        </w:tc>
        <w:tc>
          <w:tcPr>
            <w:tcW w:w="4645" w:type="dxa"/>
            <w:hideMark/>
          </w:tcPr>
          <w:p w14:paraId="446417FE" w14:textId="6D8EC528" w:rsidR="001458A2" w:rsidRPr="00BB5A5C" w:rsidRDefault="001458A2" w:rsidP="00F714C4">
            <w:r>
              <w:t xml:space="preserve">RVQOE and legacy QoE can be reported </w:t>
            </w:r>
            <w:r w:rsidRPr="005E1568">
              <w:rPr>
                <w:b/>
                <w:bCs/>
              </w:rPr>
              <w:t>independently</w:t>
            </w:r>
            <w:r w:rsidR="00BB5A5C">
              <w:t xml:space="preserve"> </w:t>
            </w:r>
          </w:p>
        </w:tc>
      </w:tr>
    </w:tbl>
    <w:p w14:paraId="6733F5A6" w14:textId="77777777" w:rsidR="001458A2" w:rsidRDefault="001458A2" w:rsidP="001458A2">
      <w:pPr>
        <w:rPr>
          <w:rFonts w:eastAsiaTheme="minorEastAsia"/>
          <w:color w:val="000000" w:themeColor="text1"/>
          <w:lang w:val="en-US" w:eastAsia="zh-CN"/>
        </w:rPr>
      </w:pPr>
    </w:p>
    <w:p w14:paraId="4F63DF1C" w14:textId="51179388" w:rsidR="001458A2" w:rsidRDefault="001458A2" w:rsidP="001458A2">
      <w:pPr>
        <w:rPr>
          <w:rFonts w:eastAsiaTheme="minorEastAsia"/>
          <w:color w:val="000000" w:themeColor="text1"/>
          <w:lang w:val="en-US" w:eastAsia="zh-CN"/>
        </w:rPr>
      </w:pPr>
      <w:r>
        <w:rPr>
          <w:rFonts w:eastAsiaTheme="minorEastAsia"/>
          <w:color w:val="000000" w:themeColor="text1"/>
          <w:lang w:val="en-US" w:eastAsia="zh-CN"/>
        </w:rPr>
        <w:t>Although Option 2 offers more flexibility</w:t>
      </w:r>
      <w:r w:rsidR="00D552FF">
        <w:rPr>
          <w:rFonts w:eastAsiaTheme="minorEastAsia"/>
          <w:color w:val="000000" w:themeColor="text1"/>
          <w:lang w:val="en-US" w:eastAsia="zh-CN"/>
        </w:rPr>
        <w:t xml:space="preserve"> and supports real-time use cases</w:t>
      </w:r>
      <w:r>
        <w:rPr>
          <w:rFonts w:eastAsiaTheme="minorEastAsia"/>
          <w:color w:val="000000" w:themeColor="text1"/>
          <w:lang w:val="en-US" w:eastAsia="zh-CN"/>
        </w:rPr>
        <w:t>, w</w:t>
      </w:r>
      <w:r w:rsidRPr="00277819">
        <w:rPr>
          <w:rFonts w:eastAsiaTheme="minorEastAsia"/>
          <w:color w:val="000000" w:themeColor="text1"/>
          <w:lang w:val="en-US" w:eastAsia="zh-CN"/>
        </w:rPr>
        <w:t>e think we should</w:t>
      </w:r>
      <w:r>
        <w:rPr>
          <w:rFonts w:eastAsiaTheme="minorEastAsia"/>
          <w:color w:val="000000" w:themeColor="text1"/>
          <w:lang w:val="en-US" w:eastAsia="zh-CN"/>
        </w:rPr>
        <w:t xml:space="preserve"> not</w:t>
      </w:r>
      <w:r w:rsidRPr="00277819">
        <w:rPr>
          <w:rFonts w:eastAsiaTheme="minorEastAsia"/>
          <w:color w:val="000000" w:themeColor="text1"/>
          <w:lang w:val="en-US" w:eastAsia="zh-CN"/>
        </w:rPr>
        <w:t xml:space="preserve"> complicate RVQ</w:t>
      </w:r>
      <w:r>
        <w:rPr>
          <w:rFonts w:eastAsiaTheme="minorEastAsia"/>
          <w:color w:val="000000" w:themeColor="text1"/>
          <w:lang w:val="en-US" w:eastAsia="zh-CN"/>
        </w:rPr>
        <w:t>O</w:t>
      </w:r>
      <w:r w:rsidRPr="00277819">
        <w:rPr>
          <w:rFonts w:eastAsiaTheme="minorEastAsia"/>
          <w:color w:val="000000" w:themeColor="text1"/>
          <w:lang w:val="en-US" w:eastAsia="zh-CN"/>
        </w:rPr>
        <w:t>E configuration and reporting by adding a different periodicity</w:t>
      </w:r>
      <w:r>
        <w:rPr>
          <w:rFonts w:eastAsiaTheme="minorEastAsia"/>
          <w:color w:val="000000" w:themeColor="text1"/>
          <w:lang w:val="en-US" w:eastAsia="zh-CN"/>
        </w:rPr>
        <w:t xml:space="preserve"> and </w:t>
      </w:r>
      <w:r w:rsidRPr="00277819">
        <w:rPr>
          <w:rFonts w:eastAsiaTheme="minorEastAsia"/>
          <w:color w:val="000000" w:themeColor="text1"/>
          <w:lang w:val="en-US" w:eastAsia="zh-CN"/>
        </w:rPr>
        <w:t>event trigger for RVQ</w:t>
      </w:r>
      <w:r>
        <w:rPr>
          <w:rFonts w:eastAsiaTheme="minorEastAsia"/>
          <w:color w:val="000000" w:themeColor="text1"/>
          <w:lang w:val="en-US" w:eastAsia="zh-CN"/>
        </w:rPr>
        <w:t>O</w:t>
      </w:r>
      <w:r w:rsidRPr="00277819">
        <w:rPr>
          <w:rFonts w:eastAsiaTheme="minorEastAsia"/>
          <w:color w:val="000000" w:themeColor="text1"/>
          <w:lang w:val="en-US" w:eastAsia="zh-CN"/>
        </w:rPr>
        <w:t xml:space="preserve">E. Otherwise, </w:t>
      </w:r>
      <w:r>
        <w:rPr>
          <w:rFonts w:eastAsiaTheme="minorEastAsia"/>
          <w:color w:val="000000" w:themeColor="text1"/>
          <w:lang w:val="en-US" w:eastAsia="zh-CN"/>
        </w:rPr>
        <w:t xml:space="preserve">we feel </w:t>
      </w:r>
      <w:r w:rsidRPr="00277819">
        <w:rPr>
          <w:rFonts w:eastAsiaTheme="minorEastAsia"/>
          <w:color w:val="000000" w:themeColor="text1"/>
          <w:lang w:val="en-US" w:eastAsia="zh-CN"/>
        </w:rPr>
        <w:t>it would be</w:t>
      </w:r>
      <w:r>
        <w:rPr>
          <w:rFonts w:eastAsiaTheme="minorEastAsia"/>
          <w:color w:val="000000" w:themeColor="text1"/>
          <w:lang w:val="en-US" w:eastAsia="zh-CN"/>
        </w:rPr>
        <w:t>come</w:t>
      </w:r>
      <w:r w:rsidRPr="00277819">
        <w:rPr>
          <w:rFonts w:eastAsiaTheme="minorEastAsia"/>
          <w:color w:val="000000" w:themeColor="text1"/>
          <w:lang w:val="en-US" w:eastAsia="zh-CN"/>
        </w:rPr>
        <w:t xml:space="preserve"> too complicated.</w:t>
      </w:r>
      <w:r>
        <w:rPr>
          <w:rFonts w:eastAsiaTheme="minorEastAsia"/>
          <w:color w:val="000000" w:themeColor="text1"/>
          <w:lang w:val="en-US" w:eastAsia="zh-CN"/>
        </w:rPr>
        <w:t xml:space="preserve"> For example,</w:t>
      </w:r>
    </w:p>
    <w:p w14:paraId="45730E09" w14:textId="77777777" w:rsidR="001458A2" w:rsidRDefault="001458A2" w:rsidP="001458A2">
      <w:pPr>
        <w:pStyle w:val="ListParagraph"/>
        <w:numPr>
          <w:ilvl w:val="0"/>
          <w:numId w:val="37"/>
        </w:numPr>
        <w:rPr>
          <w:rFonts w:eastAsiaTheme="minorEastAsia"/>
          <w:color w:val="000000" w:themeColor="text1"/>
          <w:lang w:val="en-US" w:eastAsia="zh-CN"/>
        </w:rPr>
      </w:pPr>
      <w:r w:rsidRPr="00C87CFF">
        <w:rPr>
          <w:rFonts w:eastAsiaTheme="minorEastAsia"/>
          <w:b/>
          <w:bCs/>
          <w:color w:val="000000" w:themeColor="text1"/>
          <w:lang w:val="en-US" w:eastAsia="zh-CN"/>
        </w:rPr>
        <w:t>Case 1:</w:t>
      </w:r>
      <w:r>
        <w:rPr>
          <w:rFonts w:eastAsiaTheme="minorEastAsia"/>
          <w:color w:val="000000" w:themeColor="text1"/>
          <w:lang w:val="en-US" w:eastAsia="zh-CN"/>
        </w:rPr>
        <w:t xml:space="preserve"> </w:t>
      </w:r>
      <w:r w:rsidRPr="004C6A5A">
        <w:rPr>
          <w:rFonts w:eastAsiaTheme="minorEastAsia"/>
          <w:color w:val="000000" w:themeColor="text1"/>
          <w:lang w:val="en-US" w:eastAsia="zh-CN"/>
        </w:rPr>
        <w:t>RVQOE periodicity</w:t>
      </w:r>
      <w:r>
        <w:rPr>
          <w:rFonts w:eastAsiaTheme="minorEastAsia"/>
          <w:color w:val="000000" w:themeColor="text1"/>
          <w:lang w:val="en-US" w:eastAsia="zh-CN"/>
        </w:rPr>
        <w:t xml:space="preserve"> (e.g. </w:t>
      </w:r>
      <w:r w:rsidRPr="004C6A5A">
        <w:rPr>
          <w:rFonts w:eastAsiaTheme="minorEastAsia"/>
          <w:color w:val="000000" w:themeColor="text1"/>
          <w:lang w:val="en-US" w:eastAsia="zh-CN"/>
        </w:rPr>
        <w:t xml:space="preserve"> </w:t>
      </w:r>
      <w:r>
        <w:rPr>
          <w:rFonts w:eastAsiaTheme="minorEastAsia"/>
          <w:color w:val="000000" w:themeColor="text1"/>
          <w:lang w:val="en-US" w:eastAsia="zh-CN"/>
        </w:rPr>
        <w:t xml:space="preserve">1 sec) </w:t>
      </w:r>
      <w:r w:rsidRPr="004C6A5A">
        <w:rPr>
          <w:rFonts w:eastAsiaTheme="minorEastAsia"/>
          <w:color w:val="000000" w:themeColor="text1"/>
          <w:lang w:val="en-US" w:eastAsia="zh-CN"/>
        </w:rPr>
        <w:t>&lt; legacy QoE periodicity</w:t>
      </w:r>
      <w:r>
        <w:rPr>
          <w:rFonts w:eastAsiaTheme="minorEastAsia"/>
          <w:color w:val="000000" w:themeColor="text1"/>
          <w:lang w:val="en-US" w:eastAsia="zh-CN"/>
        </w:rPr>
        <w:t xml:space="preserve"> (e.g., 2 sec)</w:t>
      </w:r>
      <w:r w:rsidRPr="004C6A5A">
        <w:rPr>
          <w:rFonts w:eastAsiaTheme="minorEastAsia"/>
          <w:color w:val="000000" w:themeColor="text1"/>
          <w:lang w:val="en-US" w:eastAsia="zh-CN"/>
        </w:rPr>
        <w:t xml:space="preserve"> </w:t>
      </w:r>
    </w:p>
    <w:p w14:paraId="69EE5971" w14:textId="77777777" w:rsidR="001458A2" w:rsidRDefault="001458A2" w:rsidP="001458A2">
      <w:pPr>
        <w:pStyle w:val="ListParagraph"/>
        <w:numPr>
          <w:ilvl w:val="1"/>
          <w:numId w:val="37"/>
        </w:numPr>
        <w:rPr>
          <w:rFonts w:eastAsiaTheme="minorEastAsia"/>
          <w:color w:val="000000" w:themeColor="text1"/>
          <w:lang w:val="en-US" w:eastAsia="zh-CN"/>
        </w:rPr>
      </w:pPr>
      <w:r w:rsidRPr="00F52A99">
        <w:rPr>
          <w:rFonts w:eastAsiaTheme="minorEastAsia"/>
          <w:color w:val="000000" w:themeColor="text1"/>
          <w:lang w:val="en-US" w:eastAsia="zh-CN"/>
        </w:rPr>
        <w:t xml:space="preserve">AT command needs to be enhanced to provide RVQOE periodicity, so that UE APP provides RVQOE faster than the legacy QoE report. </w:t>
      </w:r>
      <w:r w:rsidRPr="00A344AF">
        <w:rPr>
          <w:rFonts w:eastAsiaTheme="minorEastAsia"/>
          <w:color w:val="4472C4" w:themeColor="accent1"/>
          <w:lang w:val="en-US" w:eastAsia="zh-CN"/>
        </w:rPr>
        <w:t>UE APP needs to maintain two periodicities and should buffer QOE measurements accordingly.</w:t>
      </w:r>
    </w:p>
    <w:p w14:paraId="77EA2CA6" w14:textId="77777777" w:rsidR="001458A2" w:rsidRPr="004C6A5A" w:rsidRDefault="001458A2" w:rsidP="001458A2">
      <w:pPr>
        <w:pStyle w:val="ListParagraph"/>
        <w:rPr>
          <w:rFonts w:eastAsiaTheme="minorEastAsia"/>
          <w:color w:val="000000" w:themeColor="text1"/>
          <w:lang w:val="en-US" w:eastAsia="zh-CN"/>
        </w:rPr>
      </w:pPr>
    </w:p>
    <w:p w14:paraId="6DBFCC05" w14:textId="77777777" w:rsidR="001458A2" w:rsidRDefault="001458A2" w:rsidP="001458A2">
      <w:pPr>
        <w:pStyle w:val="ListParagraph"/>
        <w:numPr>
          <w:ilvl w:val="0"/>
          <w:numId w:val="37"/>
        </w:numPr>
        <w:rPr>
          <w:rFonts w:eastAsiaTheme="minorEastAsia"/>
          <w:color w:val="000000" w:themeColor="text1"/>
          <w:lang w:val="en-US" w:eastAsia="zh-CN"/>
        </w:rPr>
      </w:pPr>
      <w:r w:rsidRPr="00C87CFF">
        <w:rPr>
          <w:rFonts w:eastAsiaTheme="minorEastAsia"/>
          <w:b/>
          <w:bCs/>
          <w:color w:val="000000" w:themeColor="text1"/>
          <w:lang w:val="en-US" w:eastAsia="zh-CN"/>
        </w:rPr>
        <w:t>Case 2:</w:t>
      </w:r>
      <w:r>
        <w:rPr>
          <w:rFonts w:eastAsiaTheme="minorEastAsia"/>
          <w:color w:val="000000" w:themeColor="text1"/>
          <w:lang w:val="en-US" w:eastAsia="zh-CN"/>
        </w:rPr>
        <w:t xml:space="preserve"> </w:t>
      </w:r>
      <w:r w:rsidRPr="004C6A5A">
        <w:rPr>
          <w:rFonts w:eastAsiaTheme="minorEastAsia"/>
          <w:color w:val="000000" w:themeColor="text1"/>
          <w:lang w:val="en-US" w:eastAsia="zh-CN"/>
        </w:rPr>
        <w:t>RVQ</w:t>
      </w:r>
      <w:r>
        <w:rPr>
          <w:rFonts w:eastAsiaTheme="minorEastAsia"/>
          <w:color w:val="000000" w:themeColor="text1"/>
          <w:lang w:val="en-US" w:eastAsia="zh-CN"/>
        </w:rPr>
        <w:t>O</w:t>
      </w:r>
      <w:r w:rsidRPr="004C6A5A">
        <w:rPr>
          <w:rFonts w:eastAsiaTheme="minorEastAsia"/>
          <w:color w:val="000000" w:themeColor="text1"/>
          <w:lang w:val="en-US" w:eastAsia="zh-CN"/>
        </w:rPr>
        <w:t xml:space="preserve">E periodicity </w:t>
      </w:r>
      <w:r>
        <w:rPr>
          <w:rFonts w:eastAsiaTheme="minorEastAsia"/>
          <w:color w:val="000000" w:themeColor="text1"/>
          <w:lang w:val="en-US" w:eastAsia="zh-CN"/>
        </w:rPr>
        <w:t xml:space="preserve">(e.g., 2sec) </w:t>
      </w:r>
      <w:r w:rsidRPr="004C6A5A">
        <w:rPr>
          <w:rFonts w:eastAsiaTheme="minorEastAsia"/>
          <w:color w:val="000000" w:themeColor="text1"/>
          <w:lang w:val="en-US" w:eastAsia="zh-CN"/>
        </w:rPr>
        <w:t>&gt; legacy QoE periodicity</w:t>
      </w:r>
      <w:r>
        <w:rPr>
          <w:rFonts w:eastAsiaTheme="minorEastAsia"/>
          <w:color w:val="000000" w:themeColor="text1"/>
          <w:lang w:val="en-US" w:eastAsia="zh-CN"/>
        </w:rPr>
        <w:t xml:space="preserve"> (e.g., 1 sec)</w:t>
      </w:r>
      <w:r w:rsidRPr="004C6A5A">
        <w:rPr>
          <w:rFonts w:eastAsiaTheme="minorEastAsia"/>
          <w:color w:val="000000" w:themeColor="text1"/>
          <w:lang w:val="en-US" w:eastAsia="zh-CN"/>
        </w:rPr>
        <w:t xml:space="preserve"> </w:t>
      </w:r>
      <w:r w:rsidRPr="008D14A3">
        <w:rPr>
          <w:lang w:val="en-US" w:eastAsia="zh-CN"/>
        </w:rPr>
        <w:sym w:font="Wingdings" w:char="F0E0"/>
      </w:r>
      <w:r w:rsidRPr="004C6A5A">
        <w:rPr>
          <w:rFonts w:eastAsiaTheme="minorEastAsia"/>
          <w:color w:val="000000" w:themeColor="text1"/>
          <w:lang w:val="en-US" w:eastAsia="zh-CN"/>
        </w:rPr>
        <w:t xml:space="preserve"> </w:t>
      </w:r>
    </w:p>
    <w:p w14:paraId="7202D56C" w14:textId="0C666A35" w:rsidR="001458A2" w:rsidRDefault="001458A2" w:rsidP="001458A2">
      <w:pPr>
        <w:pStyle w:val="ListParagraph"/>
        <w:numPr>
          <w:ilvl w:val="1"/>
          <w:numId w:val="37"/>
        </w:numPr>
        <w:rPr>
          <w:rFonts w:eastAsiaTheme="minorEastAsia"/>
          <w:color w:val="000000" w:themeColor="text1"/>
          <w:lang w:val="en-US" w:eastAsia="zh-CN"/>
        </w:rPr>
      </w:pPr>
      <w:r w:rsidRPr="00E93F77">
        <w:rPr>
          <w:rFonts w:eastAsiaTheme="minorEastAsia"/>
          <w:color w:val="000000" w:themeColor="text1"/>
          <w:lang w:val="en-US" w:eastAsia="zh-CN"/>
        </w:rPr>
        <w:t xml:space="preserve">This might not be a typical case if RVQOE has higher priority. But RAN has no idea what legacy QoE reporting periodicity is. </w:t>
      </w:r>
      <w:r>
        <w:rPr>
          <w:rFonts w:eastAsiaTheme="minorEastAsia"/>
          <w:color w:val="000000" w:themeColor="text1"/>
          <w:lang w:val="en-US" w:eastAsia="zh-CN"/>
        </w:rPr>
        <w:t>I</w:t>
      </w:r>
      <w:r w:rsidRPr="00E93F77">
        <w:rPr>
          <w:rFonts w:eastAsiaTheme="minorEastAsia"/>
          <w:color w:val="000000" w:themeColor="text1"/>
          <w:lang w:val="en-US" w:eastAsia="zh-CN"/>
        </w:rPr>
        <w:t xml:space="preserve">n this case, </w:t>
      </w:r>
      <w:r>
        <w:rPr>
          <w:rFonts w:eastAsiaTheme="minorEastAsia"/>
          <w:color w:val="000000" w:themeColor="text1"/>
          <w:lang w:val="en-US" w:eastAsia="zh-CN"/>
        </w:rPr>
        <w:t xml:space="preserve">it is not clear </w:t>
      </w:r>
      <w:r w:rsidRPr="00E93F77">
        <w:rPr>
          <w:rFonts w:eastAsiaTheme="minorEastAsia"/>
          <w:color w:val="000000" w:themeColor="text1"/>
          <w:lang w:val="en-US" w:eastAsia="zh-CN"/>
        </w:rPr>
        <w:t>whether RVQOE should be reported based on the last 1 sec or last 2 sec?</w:t>
      </w:r>
      <w:r>
        <w:rPr>
          <w:rFonts w:eastAsiaTheme="minorEastAsia"/>
          <w:color w:val="000000" w:themeColor="text1"/>
          <w:lang w:val="en-US" w:eastAsia="zh-CN"/>
        </w:rPr>
        <w:t xml:space="preserve"> Similar as case 1, UE APP would need to buffer QoE measurement results longer than usual for the purpose of RVQOE</w:t>
      </w:r>
      <w:r w:rsidR="00DE036F">
        <w:rPr>
          <w:rFonts w:eastAsiaTheme="minorEastAsia"/>
          <w:color w:val="000000" w:themeColor="text1"/>
          <w:lang w:val="en-US" w:eastAsia="zh-CN"/>
        </w:rPr>
        <w:t xml:space="preserve"> or maintain two separate buffers</w:t>
      </w:r>
      <w:r>
        <w:rPr>
          <w:rFonts w:eastAsiaTheme="minorEastAsia"/>
          <w:color w:val="000000" w:themeColor="text1"/>
          <w:lang w:val="en-US" w:eastAsia="zh-CN"/>
        </w:rPr>
        <w:t xml:space="preserve">. </w:t>
      </w:r>
    </w:p>
    <w:p w14:paraId="71C288F1" w14:textId="77777777" w:rsidR="001458A2" w:rsidRPr="001207CA" w:rsidRDefault="001458A2" w:rsidP="001458A2">
      <w:pPr>
        <w:pStyle w:val="ListParagraph"/>
        <w:ind w:left="1440"/>
        <w:rPr>
          <w:rFonts w:eastAsiaTheme="minorEastAsia"/>
          <w:color w:val="000000" w:themeColor="text1"/>
          <w:lang w:val="en-US" w:eastAsia="zh-CN"/>
        </w:rPr>
      </w:pPr>
      <w:r w:rsidRPr="00ED33F0">
        <w:rPr>
          <w:rFonts w:eastAsiaTheme="minorEastAsia"/>
          <w:color w:val="000000" w:themeColor="text1"/>
          <w:lang w:val="en-US" w:eastAsia="zh-CN"/>
        </w:rPr>
        <w:t xml:space="preserve"> </w:t>
      </w:r>
    </w:p>
    <w:p w14:paraId="4F0C775E" w14:textId="77777777" w:rsidR="001458A2" w:rsidRDefault="001458A2" w:rsidP="001458A2">
      <w:pPr>
        <w:pStyle w:val="ListParagraph"/>
        <w:numPr>
          <w:ilvl w:val="0"/>
          <w:numId w:val="37"/>
        </w:numPr>
        <w:rPr>
          <w:rFonts w:eastAsiaTheme="minorEastAsia"/>
          <w:color w:val="000000" w:themeColor="text1"/>
          <w:lang w:val="en-US" w:eastAsia="zh-CN"/>
        </w:rPr>
      </w:pPr>
      <w:r w:rsidRPr="00C87CFF">
        <w:rPr>
          <w:rFonts w:eastAsiaTheme="minorEastAsia"/>
          <w:b/>
          <w:bCs/>
          <w:color w:val="000000" w:themeColor="text1"/>
          <w:lang w:val="en-US" w:eastAsia="zh-CN"/>
        </w:rPr>
        <w:t>Case 3:</w:t>
      </w:r>
      <w:r>
        <w:rPr>
          <w:rFonts w:eastAsiaTheme="minorEastAsia"/>
          <w:color w:val="000000" w:themeColor="text1"/>
          <w:lang w:val="en-US" w:eastAsia="zh-CN"/>
        </w:rPr>
        <w:t xml:space="preserve"> </w:t>
      </w:r>
      <w:r w:rsidRPr="004C6A5A">
        <w:rPr>
          <w:rFonts w:eastAsiaTheme="minorEastAsia"/>
          <w:color w:val="000000" w:themeColor="text1"/>
          <w:lang w:val="en-US" w:eastAsia="zh-CN"/>
        </w:rPr>
        <w:t xml:space="preserve">Different event triggers for RVQOE and legacy QoE </w:t>
      </w:r>
      <w:r w:rsidRPr="004C6A5A">
        <w:rPr>
          <w:lang w:val="en-US" w:eastAsia="zh-CN"/>
        </w:rPr>
        <w:sym w:font="Wingdings" w:char="F0E0"/>
      </w:r>
      <w:r w:rsidRPr="004C6A5A">
        <w:rPr>
          <w:rFonts w:eastAsiaTheme="minorEastAsia"/>
          <w:color w:val="000000" w:themeColor="text1"/>
          <w:lang w:val="en-US" w:eastAsia="zh-CN"/>
        </w:rPr>
        <w:t xml:space="preserve"> complicated</w:t>
      </w:r>
      <w:r>
        <w:rPr>
          <w:rFonts w:eastAsiaTheme="minorEastAsia"/>
          <w:color w:val="000000" w:themeColor="text1"/>
          <w:lang w:val="en-US" w:eastAsia="zh-CN"/>
        </w:rPr>
        <w:t xml:space="preserve"> signaling</w:t>
      </w:r>
    </w:p>
    <w:p w14:paraId="2C4C27B1" w14:textId="317FF19F" w:rsidR="001458A2" w:rsidRDefault="001458A2" w:rsidP="001458A2">
      <w:pPr>
        <w:rPr>
          <w:rFonts w:eastAsiaTheme="minorEastAsia"/>
          <w:color w:val="000000" w:themeColor="text1"/>
          <w:lang w:val="en-US" w:eastAsia="zh-CN"/>
        </w:rPr>
      </w:pPr>
      <w:r>
        <w:rPr>
          <w:rFonts w:eastAsiaTheme="minorEastAsia"/>
          <w:color w:val="000000" w:themeColor="text1"/>
          <w:lang w:val="en-US" w:eastAsia="zh-CN"/>
        </w:rPr>
        <w:t xml:space="preserve">For the sake of simplicity, we therefore prefer </w:t>
      </w:r>
      <w:r w:rsidRPr="00844C84">
        <w:rPr>
          <w:rFonts w:eastAsiaTheme="minorEastAsia"/>
          <w:color w:val="00B050"/>
          <w:lang w:val="en-US" w:eastAsia="zh-CN"/>
        </w:rPr>
        <w:t>Option 1</w:t>
      </w:r>
      <w:r>
        <w:rPr>
          <w:rFonts w:eastAsiaTheme="minorEastAsia"/>
          <w:color w:val="000000" w:themeColor="text1"/>
          <w:lang w:val="en-US" w:eastAsia="zh-CN"/>
        </w:rPr>
        <w:t>.</w:t>
      </w:r>
    </w:p>
    <w:p w14:paraId="08E80A3E" w14:textId="5F5AF993" w:rsidR="006119BD" w:rsidRDefault="006119BD" w:rsidP="006119BD">
      <w:pPr>
        <w:rPr>
          <w:lang w:eastAsia="x-none"/>
        </w:rPr>
      </w:pPr>
      <w:r w:rsidRPr="00563FBD">
        <w:rPr>
          <w:b/>
          <w:bCs/>
          <w:lang w:eastAsia="x-none"/>
        </w:rPr>
        <w:lastRenderedPageBreak/>
        <w:t>Observation</w:t>
      </w:r>
      <w:r w:rsidR="005650C5">
        <w:rPr>
          <w:b/>
          <w:bCs/>
          <w:lang w:eastAsia="x-none"/>
        </w:rPr>
        <w:t xml:space="preserve"> </w:t>
      </w:r>
      <w:r w:rsidR="00F473B7">
        <w:rPr>
          <w:b/>
          <w:bCs/>
          <w:lang w:eastAsia="x-none"/>
        </w:rPr>
        <w:t>3</w:t>
      </w:r>
      <w:r>
        <w:rPr>
          <w:lang w:eastAsia="x-none"/>
        </w:rPr>
        <w:t xml:space="preserve">: </w:t>
      </w:r>
      <w:r w:rsidRPr="00B125FD">
        <w:rPr>
          <w:lang w:eastAsia="x-none"/>
        </w:rPr>
        <w:t>If RVQoE and legacy QoE are to</w:t>
      </w:r>
      <w:r>
        <w:rPr>
          <w:lang w:eastAsia="x-none"/>
        </w:rPr>
        <w:t xml:space="preserve"> be</w:t>
      </w:r>
      <w:r w:rsidRPr="00B125FD">
        <w:rPr>
          <w:lang w:eastAsia="x-none"/>
        </w:rPr>
        <w:t xml:space="preserve"> report</w:t>
      </w:r>
      <w:r>
        <w:rPr>
          <w:lang w:eastAsia="x-none"/>
        </w:rPr>
        <w:t>ed</w:t>
      </w:r>
      <w:r w:rsidRPr="00B125FD">
        <w:rPr>
          <w:lang w:eastAsia="x-none"/>
        </w:rPr>
        <w:t xml:space="preserve"> separately, it </w:t>
      </w:r>
      <w:r w:rsidR="00530746">
        <w:rPr>
          <w:lang w:eastAsia="x-none"/>
        </w:rPr>
        <w:t xml:space="preserve">might </w:t>
      </w:r>
      <w:r w:rsidRPr="00B125FD">
        <w:rPr>
          <w:lang w:eastAsia="x-none"/>
        </w:rPr>
        <w:t>increase the</w:t>
      </w:r>
      <w:r w:rsidR="00530746">
        <w:rPr>
          <w:lang w:eastAsia="x-none"/>
        </w:rPr>
        <w:t xml:space="preserve"> processing</w:t>
      </w:r>
      <w:r w:rsidRPr="00B125FD">
        <w:rPr>
          <w:lang w:eastAsia="x-none"/>
        </w:rPr>
        <w:t xml:space="preserve"> complexity</w:t>
      </w:r>
      <w:r w:rsidR="00530746">
        <w:rPr>
          <w:lang w:eastAsia="x-none"/>
        </w:rPr>
        <w:t xml:space="preserve"> and storage requirements</w:t>
      </w:r>
      <w:r w:rsidRPr="00B125FD">
        <w:rPr>
          <w:lang w:eastAsia="x-none"/>
        </w:rPr>
        <w:t xml:space="preserve"> </w:t>
      </w:r>
      <w:r w:rsidR="00235AE8">
        <w:rPr>
          <w:lang w:eastAsia="x-none"/>
        </w:rPr>
        <w:t>at</w:t>
      </w:r>
      <w:r w:rsidRPr="00B125FD">
        <w:rPr>
          <w:lang w:eastAsia="x-none"/>
        </w:rPr>
        <w:t xml:space="preserve"> UE </w:t>
      </w:r>
      <w:r>
        <w:rPr>
          <w:lang w:eastAsia="x-none"/>
        </w:rPr>
        <w:t>Application</w:t>
      </w:r>
      <w:r w:rsidR="008F2F94">
        <w:rPr>
          <w:lang w:eastAsia="x-none"/>
        </w:rPr>
        <w:t xml:space="preserve"> to handle RVQoE and legacy QoE independently</w:t>
      </w:r>
    </w:p>
    <w:p w14:paraId="14160F5F" w14:textId="75EE3D39" w:rsidR="005650C5" w:rsidRDefault="005650C5" w:rsidP="005650C5">
      <w:pPr>
        <w:rPr>
          <w:rFonts w:eastAsiaTheme="minorEastAsia"/>
          <w:b/>
          <w:bCs/>
          <w:color w:val="000000" w:themeColor="text1"/>
          <w:lang w:val="en-US" w:eastAsia="zh-CN"/>
        </w:rPr>
      </w:pPr>
      <w:r>
        <w:rPr>
          <w:rFonts w:eastAsiaTheme="minorEastAsia"/>
          <w:b/>
          <w:bCs/>
          <w:color w:val="000000" w:themeColor="text1"/>
          <w:lang w:val="en-US" w:eastAsia="zh-CN"/>
        </w:rPr>
        <w:t>Proposal</w:t>
      </w:r>
      <w:r w:rsidR="00F473B7">
        <w:rPr>
          <w:rFonts w:eastAsiaTheme="minorEastAsia"/>
          <w:b/>
          <w:bCs/>
          <w:color w:val="000000" w:themeColor="text1"/>
          <w:lang w:val="en-US" w:eastAsia="zh-CN"/>
        </w:rPr>
        <w:t xml:space="preserve"> 4</w:t>
      </w:r>
      <w:r>
        <w:rPr>
          <w:rFonts w:eastAsiaTheme="minorEastAsia"/>
          <w:b/>
          <w:bCs/>
          <w:color w:val="000000" w:themeColor="text1"/>
          <w:lang w:val="en-US" w:eastAsia="zh-CN"/>
        </w:rPr>
        <w:t xml:space="preserve">: </w:t>
      </w:r>
      <w:r>
        <w:t>RVQOE has the same priority as legacy QoE. The main purpose of RVQOE is to expose QoE metrics to RAN and not for enabling QoE aware real-time use cases</w:t>
      </w:r>
    </w:p>
    <w:p w14:paraId="2E68FD1A" w14:textId="54A45599" w:rsidR="00936A01" w:rsidRPr="001062CC" w:rsidRDefault="00180097" w:rsidP="00936A01">
      <w:pPr>
        <w:pStyle w:val="Heading2"/>
        <w:numPr>
          <w:ilvl w:val="1"/>
          <w:numId w:val="2"/>
        </w:numPr>
        <w:tabs>
          <w:tab w:val="left" w:pos="720"/>
        </w:tabs>
        <w:rPr>
          <w:rFonts w:ascii="Times New Roman" w:hAnsi="Times New Roman"/>
        </w:rPr>
      </w:pPr>
      <w:r w:rsidRPr="001062CC">
        <w:rPr>
          <w:rFonts w:ascii="Times New Roman" w:hAnsi="Times New Roman"/>
        </w:rPr>
        <w:t>RVQoE configuration</w:t>
      </w:r>
    </w:p>
    <w:p w14:paraId="3EF3C1C3" w14:textId="77777777" w:rsidR="003E0C3C" w:rsidRPr="003E0C3C" w:rsidRDefault="003E0C3C" w:rsidP="003E0C3C">
      <w:pPr>
        <w:contextualSpacing/>
        <w:rPr>
          <w:color w:val="00B050"/>
          <w:lang w:eastAsia="x-none"/>
        </w:rPr>
      </w:pPr>
      <w:r w:rsidRPr="003E0C3C">
        <w:rPr>
          <w:color w:val="00B050"/>
          <w:lang w:eastAsia="x-none"/>
        </w:rPr>
        <w:t>RAN generates the RVQoE measurement configuration</w:t>
      </w:r>
    </w:p>
    <w:p w14:paraId="285D3021" w14:textId="77777777" w:rsidR="003E0C3C" w:rsidRPr="003E0C3C" w:rsidRDefault="003E0C3C" w:rsidP="003E0C3C">
      <w:pPr>
        <w:contextualSpacing/>
        <w:rPr>
          <w:color w:val="00B050"/>
          <w:lang w:eastAsia="x-none"/>
        </w:rPr>
      </w:pPr>
      <w:r w:rsidRPr="003E0C3C">
        <w:rPr>
          <w:color w:val="00B050"/>
          <w:lang w:eastAsia="x-none"/>
        </w:rPr>
        <w:t>The RVQoE configuration can be configured flexibly (i.e., it is not fixed)</w:t>
      </w:r>
    </w:p>
    <w:p w14:paraId="3F74A127" w14:textId="1D2D1E29" w:rsidR="00180097" w:rsidRPr="001062CC" w:rsidRDefault="003E0C3C" w:rsidP="003E0C3C">
      <w:pPr>
        <w:contextualSpacing/>
        <w:rPr>
          <w:color w:val="00B050"/>
          <w:lang w:eastAsia="x-none"/>
        </w:rPr>
      </w:pPr>
      <w:r w:rsidRPr="001062CC">
        <w:rPr>
          <w:color w:val="00B050"/>
          <w:lang w:eastAsia="x-none"/>
        </w:rPr>
        <w:t>The RVQoE configuration sent to UE should contain the metrics to be reported, as a mandatory IE</w:t>
      </w:r>
    </w:p>
    <w:p w14:paraId="66EAC051" w14:textId="30D634AA" w:rsidR="007D3D29" w:rsidRPr="001062CC" w:rsidRDefault="007D3D29" w:rsidP="003E0C3C">
      <w:pPr>
        <w:contextualSpacing/>
        <w:rPr>
          <w:color w:val="4472C4" w:themeColor="accent1"/>
          <w:lang w:eastAsia="x-none"/>
        </w:rPr>
      </w:pPr>
      <w:r w:rsidRPr="001062CC">
        <w:rPr>
          <w:color w:val="4472C4" w:themeColor="accent1"/>
          <w:lang w:eastAsia="x-none"/>
        </w:rPr>
        <w:t>FFS whether to include the following in RVQoE configuration: Sample percentage, Start Time, Duration, Reporting Interval for periodic case, Triggering Event, DRB information (or QoS flow information) to be reported</w:t>
      </w:r>
    </w:p>
    <w:p w14:paraId="7651DE0F" w14:textId="24AF21E8" w:rsidR="007E5B31" w:rsidRDefault="007E5B31" w:rsidP="003E0C3C">
      <w:pPr>
        <w:contextualSpacing/>
        <w:rPr>
          <w:color w:val="00B050"/>
          <w:lang w:eastAsia="x-none"/>
        </w:rPr>
      </w:pPr>
    </w:p>
    <w:p w14:paraId="0B24C707" w14:textId="3D74A3E3" w:rsidR="00881B1D" w:rsidRDefault="00881B1D" w:rsidP="00881B1D">
      <w:pPr>
        <w:spacing w:after="0"/>
        <w:rPr>
          <w:rFonts w:eastAsia="Times New Roman"/>
          <w:lang w:val="en-US"/>
        </w:rPr>
      </w:pPr>
      <w:r>
        <w:rPr>
          <w:rFonts w:eastAsia="Times New Roman"/>
          <w:b/>
          <w:bCs/>
          <w:lang w:val="en-US"/>
        </w:rPr>
        <w:t>Proposal</w:t>
      </w:r>
      <w:r>
        <w:rPr>
          <w:rFonts w:eastAsia="Times New Roman"/>
          <w:b/>
          <w:bCs/>
          <w:lang w:val="en-US"/>
        </w:rPr>
        <w:t xml:space="preserve"> 5</w:t>
      </w:r>
      <w:r>
        <w:rPr>
          <w:rFonts w:eastAsia="Times New Roman"/>
          <w:b/>
          <w:bCs/>
          <w:lang w:val="en-US"/>
        </w:rPr>
        <w:t xml:space="preserve">: </w:t>
      </w:r>
      <w:r w:rsidRPr="00702C23">
        <w:rPr>
          <w:rFonts w:eastAsia="Times New Roman"/>
          <w:lang w:val="en-US"/>
        </w:rPr>
        <w:t>RVQoE and legacy QoE can be configured independently i.e., RVQoE can be configured at a later time after configuring legacy QoE by using the same measConfigAppLayerID</w:t>
      </w:r>
    </w:p>
    <w:p w14:paraId="3EC00F76" w14:textId="691DED18" w:rsidR="009B54A1" w:rsidRDefault="009B54A1" w:rsidP="00881B1D">
      <w:pPr>
        <w:spacing w:after="0"/>
        <w:rPr>
          <w:rFonts w:eastAsia="Times New Roman"/>
          <w:lang w:val="en-US"/>
        </w:rPr>
      </w:pPr>
    </w:p>
    <w:p w14:paraId="569C264F" w14:textId="5128B8F6" w:rsidR="009B54A1" w:rsidRPr="00BF571A" w:rsidRDefault="009B54A1" w:rsidP="009B54A1">
      <w:pPr>
        <w:overflowPunct w:val="0"/>
        <w:autoSpaceDE w:val="0"/>
        <w:autoSpaceDN w:val="0"/>
        <w:adjustRightInd w:val="0"/>
        <w:spacing w:beforeLines="50" w:before="120" w:after="0"/>
        <w:contextualSpacing/>
        <w:textAlignment w:val="baseline"/>
      </w:pPr>
      <w:r w:rsidRPr="00BB291C">
        <w:rPr>
          <w:b/>
          <w:bCs/>
        </w:rPr>
        <w:t xml:space="preserve">Proposal </w:t>
      </w:r>
      <w:r w:rsidR="000510E1">
        <w:rPr>
          <w:b/>
          <w:bCs/>
        </w:rPr>
        <w:t>6</w:t>
      </w:r>
      <w:r w:rsidRPr="00BB291C">
        <w:rPr>
          <w:b/>
          <w:bCs/>
        </w:rPr>
        <w:t>:</w:t>
      </w:r>
      <w:r>
        <w:t xml:space="preserve"> </w:t>
      </w:r>
      <w:r w:rsidRPr="00815279">
        <w:t xml:space="preserve">NG-RAN can release a list of RVQOE configurations while not releasing corresponding legacy QoE configurations </w:t>
      </w:r>
    </w:p>
    <w:p w14:paraId="3F767699" w14:textId="77777777" w:rsidR="009B54A1" w:rsidRDefault="009B54A1" w:rsidP="009B54A1">
      <w:pPr>
        <w:overflowPunct w:val="0"/>
        <w:autoSpaceDE w:val="0"/>
        <w:autoSpaceDN w:val="0"/>
        <w:adjustRightInd w:val="0"/>
        <w:spacing w:beforeLines="50" w:before="120" w:after="0"/>
        <w:contextualSpacing/>
        <w:textAlignment w:val="baseline"/>
        <w:rPr>
          <w:rFonts w:eastAsia="Times New Roman"/>
          <w:b/>
          <w:bCs/>
          <w:lang w:val="en-US"/>
        </w:rPr>
      </w:pPr>
    </w:p>
    <w:p w14:paraId="3EB09383" w14:textId="6D91DC43" w:rsidR="009B54A1" w:rsidRDefault="009B54A1" w:rsidP="009B54A1">
      <w:pPr>
        <w:overflowPunct w:val="0"/>
        <w:autoSpaceDE w:val="0"/>
        <w:autoSpaceDN w:val="0"/>
        <w:adjustRightInd w:val="0"/>
        <w:spacing w:beforeLines="50" w:before="120" w:after="0"/>
        <w:contextualSpacing/>
        <w:textAlignment w:val="baseline"/>
        <w:rPr>
          <w:color w:val="00B050"/>
        </w:rPr>
      </w:pPr>
      <w:r w:rsidRPr="00BB481B">
        <w:rPr>
          <w:rFonts w:eastAsia="Times New Roman"/>
          <w:b/>
          <w:bCs/>
          <w:lang w:val="en-US"/>
        </w:rPr>
        <w:t>Proposal</w:t>
      </w:r>
      <w:r>
        <w:rPr>
          <w:rFonts w:eastAsia="Times New Roman"/>
          <w:b/>
          <w:bCs/>
          <w:lang w:val="en-US"/>
        </w:rPr>
        <w:t xml:space="preserve"> </w:t>
      </w:r>
      <w:r w:rsidR="000510E1">
        <w:rPr>
          <w:rFonts w:eastAsia="Times New Roman"/>
          <w:b/>
          <w:bCs/>
          <w:lang w:val="en-US"/>
        </w:rPr>
        <w:t>7</w:t>
      </w:r>
      <w:r w:rsidRPr="00BB481B">
        <w:rPr>
          <w:rFonts w:eastAsia="Times New Roman"/>
          <w:lang w:val="en-US"/>
        </w:rPr>
        <w:t xml:space="preserve">: </w:t>
      </w:r>
      <w:r w:rsidRPr="00BF571A">
        <w:t>If the legacy QoE configuration is released/paused/resumed, the corresponding RVQOE configuration is released/paused/resumed as well</w:t>
      </w:r>
    </w:p>
    <w:p w14:paraId="1717F0D1" w14:textId="77777777" w:rsidR="009B54A1" w:rsidRDefault="009B54A1" w:rsidP="009B54A1">
      <w:pPr>
        <w:overflowPunct w:val="0"/>
        <w:autoSpaceDE w:val="0"/>
        <w:autoSpaceDN w:val="0"/>
        <w:adjustRightInd w:val="0"/>
        <w:spacing w:beforeLines="50" w:before="120" w:after="0"/>
        <w:contextualSpacing/>
        <w:jc w:val="both"/>
        <w:textAlignment w:val="baseline"/>
        <w:rPr>
          <w:color w:val="00B050"/>
        </w:rPr>
      </w:pPr>
    </w:p>
    <w:p w14:paraId="0C7E4ECE" w14:textId="26398F1C" w:rsidR="009B54A1" w:rsidRPr="00BF571A" w:rsidRDefault="009B54A1" w:rsidP="009B54A1">
      <w:pPr>
        <w:overflowPunct w:val="0"/>
        <w:autoSpaceDE w:val="0"/>
        <w:autoSpaceDN w:val="0"/>
        <w:adjustRightInd w:val="0"/>
        <w:spacing w:beforeLines="50" w:before="120" w:after="0"/>
        <w:contextualSpacing/>
        <w:textAlignment w:val="baseline"/>
      </w:pPr>
      <w:r w:rsidRPr="00BB291C">
        <w:rPr>
          <w:b/>
          <w:bCs/>
        </w:rPr>
        <w:t xml:space="preserve">Proposal </w:t>
      </w:r>
      <w:r w:rsidR="000510E1">
        <w:rPr>
          <w:b/>
          <w:bCs/>
        </w:rPr>
        <w:t>8</w:t>
      </w:r>
      <w:r w:rsidRPr="00BB291C">
        <w:rPr>
          <w:b/>
          <w:bCs/>
        </w:rPr>
        <w:t>:</w:t>
      </w:r>
      <w:r>
        <w:t xml:space="preserve"> A common indicator is used to pause/resume both legacy QoE and RVQoE configurations </w:t>
      </w:r>
      <w:r w:rsidR="00321F02">
        <w:t>i.e.,</w:t>
      </w:r>
      <w:r>
        <w:t xml:space="preserve"> there is no </w:t>
      </w:r>
      <w:r w:rsidR="00321F02">
        <w:t>support</w:t>
      </w:r>
      <w:r>
        <w:t xml:space="preserve"> to </w:t>
      </w:r>
      <w:r w:rsidRPr="00815279">
        <w:t>pause/resume a list of RVQOE configurations while not pausing/resuming corresponding legacy QoE configurations</w:t>
      </w:r>
    </w:p>
    <w:p w14:paraId="71F62636" w14:textId="77777777" w:rsidR="00881B1D" w:rsidRDefault="00881B1D" w:rsidP="00714ABB">
      <w:pPr>
        <w:spacing w:after="0"/>
        <w:rPr>
          <w:rFonts w:eastAsia="Times New Roman"/>
          <w:b/>
          <w:bCs/>
          <w:lang w:val="en-US"/>
        </w:rPr>
      </w:pPr>
    </w:p>
    <w:p w14:paraId="5AD26E28" w14:textId="46DAA6A8" w:rsidR="00714ABB" w:rsidRPr="00BB481B" w:rsidRDefault="00714ABB" w:rsidP="00714ABB">
      <w:pPr>
        <w:spacing w:after="0"/>
        <w:rPr>
          <w:rFonts w:eastAsia="Times New Roman"/>
          <w:lang w:val="en-US"/>
        </w:rPr>
      </w:pPr>
      <w:r w:rsidRPr="00BB481B">
        <w:rPr>
          <w:rFonts w:eastAsia="Times New Roman"/>
          <w:b/>
          <w:bCs/>
          <w:lang w:val="en-US"/>
        </w:rPr>
        <w:t>Proposa</w:t>
      </w:r>
      <w:r w:rsidR="005650C5">
        <w:rPr>
          <w:rFonts w:eastAsia="Times New Roman"/>
          <w:b/>
          <w:bCs/>
          <w:lang w:val="en-US"/>
        </w:rPr>
        <w:t xml:space="preserve">l </w:t>
      </w:r>
      <w:r w:rsidR="000510E1">
        <w:rPr>
          <w:rFonts w:eastAsia="Times New Roman"/>
          <w:b/>
          <w:bCs/>
          <w:lang w:val="en-US"/>
        </w:rPr>
        <w:t>9</w:t>
      </w:r>
      <w:r w:rsidRPr="00BB481B">
        <w:rPr>
          <w:rFonts w:eastAsia="Times New Roman"/>
          <w:b/>
          <w:bCs/>
          <w:lang w:val="en-US"/>
        </w:rPr>
        <w:t>:</w:t>
      </w:r>
      <w:r w:rsidRPr="00BB481B">
        <w:rPr>
          <w:rFonts w:eastAsia="Times New Roman"/>
          <w:lang w:val="en-US"/>
        </w:rPr>
        <w:t xml:space="preserve"> RVQoE configuration </w:t>
      </w:r>
      <w:r w:rsidR="0033306E">
        <w:rPr>
          <w:rFonts w:eastAsia="Times New Roman"/>
          <w:lang w:val="en-US"/>
        </w:rPr>
        <w:t xml:space="preserve">should </w:t>
      </w:r>
      <w:r w:rsidRPr="00BB481B">
        <w:rPr>
          <w:rFonts w:eastAsia="Times New Roman"/>
          <w:lang w:val="en-US"/>
        </w:rPr>
        <w:t xml:space="preserve">simply include the RVQoE metrics to be reported. </w:t>
      </w:r>
      <w:r w:rsidR="0033306E">
        <w:rPr>
          <w:rFonts w:eastAsia="Times New Roman"/>
          <w:lang w:val="en-US"/>
        </w:rPr>
        <w:t>There is n</w:t>
      </w:r>
      <w:r w:rsidRPr="00BB481B">
        <w:rPr>
          <w:rFonts w:eastAsia="Times New Roman"/>
          <w:lang w:val="en-US"/>
        </w:rPr>
        <w:t xml:space="preserve">o need to define a separate periodicity or event trigger for </w:t>
      </w:r>
      <w:r w:rsidR="00396B06" w:rsidRPr="00BB481B">
        <w:rPr>
          <w:rFonts w:eastAsia="Times New Roman"/>
          <w:lang w:val="en-US"/>
        </w:rPr>
        <w:t>RVQoE or</w:t>
      </w:r>
      <w:r w:rsidRPr="00BB481B">
        <w:rPr>
          <w:rFonts w:eastAsia="Times New Roman"/>
          <w:lang w:val="en-US"/>
        </w:rPr>
        <w:t xml:space="preserve"> other metrics such as Sample percentage, Start Time, Duration</w:t>
      </w:r>
    </w:p>
    <w:p w14:paraId="1D0E528E" w14:textId="77777777" w:rsidR="00293E34" w:rsidRPr="001062CC" w:rsidRDefault="00293E34" w:rsidP="003E0C3C">
      <w:pPr>
        <w:contextualSpacing/>
        <w:rPr>
          <w:color w:val="00B050"/>
          <w:lang w:eastAsia="x-none"/>
        </w:rPr>
      </w:pPr>
    </w:p>
    <w:p w14:paraId="643D5F53" w14:textId="2040167E" w:rsidR="00180097" w:rsidRDefault="00180097" w:rsidP="00180097">
      <w:pPr>
        <w:pStyle w:val="Heading2"/>
        <w:numPr>
          <w:ilvl w:val="1"/>
          <w:numId w:val="2"/>
        </w:numPr>
        <w:tabs>
          <w:tab w:val="left" w:pos="720"/>
        </w:tabs>
        <w:rPr>
          <w:rFonts w:ascii="Times New Roman" w:hAnsi="Times New Roman"/>
        </w:rPr>
      </w:pPr>
      <w:r w:rsidRPr="001062CC">
        <w:rPr>
          <w:rFonts w:ascii="Times New Roman" w:hAnsi="Times New Roman"/>
        </w:rPr>
        <w:t>RVQoE report</w:t>
      </w:r>
    </w:p>
    <w:p w14:paraId="55ABAED2" w14:textId="20A45706" w:rsidR="00045A6F" w:rsidRPr="00045A6F" w:rsidRDefault="00045A6F" w:rsidP="00045A6F">
      <w:pPr>
        <w:rPr>
          <w:lang w:eastAsia="x-none"/>
        </w:rPr>
      </w:pPr>
      <w:r>
        <w:rPr>
          <w:lang w:eastAsia="x-none"/>
        </w:rPr>
        <w:t>For the sake of simplicity as discussed in section 2.2,  RVQoE and legacy QoE should be reported together</w:t>
      </w:r>
    </w:p>
    <w:p w14:paraId="182BFE73" w14:textId="7356C0D5" w:rsidR="00881B1D" w:rsidRPr="00881B1D" w:rsidRDefault="00881B1D" w:rsidP="00881B1D">
      <w:pPr>
        <w:spacing w:after="0"/>
        <w:rPr>
          <w:rFonts w:eastAsia="Times New Roman"/>
          <w:lang w:val="en-US"/>
        </w:rPr>
      </w:pPr>
      <w:r w:rsidRPr="00881B1D">
        <w:rPr>
          <w:rFonts w:eastAsia="Times New Roman"/>
          <w:b/>
          <w:bCs/>
          <w:lang w:val="en-US"/>
        </w:rPr>
        <w:t xml:space="preserve">Proposal </w:t>
      </w:r>
      <w:r w:rsidR="00321F02">
        <w:rPr>
          <w:rFonts w:eastAsia="Times New Roman"/>
          <w:b/>
          <w:bCs/>
          <w:lang w:val="en-US"/>
        </w:rPr>
        <w:t>10</w:t>
      </w:r>
      <w:r w:rsidRPr="00881B1D">
        <w:rPr>
          <w:rFonts w:eastAsia="Times New Roman"/>
          <w:lang w:val="en-US"/>
        </w:rPr>
        <w:t>: RVQOE and legacy QoE should be reported together</w:t>
      </w:r>
    </w:p>
    <w:p w14:paraId="753BF4D1" w14:textId="77777777" w:rsidR="00881B1D" w:rsidRDefault="00881B1D" w:rsidP="004377CD">
      <w:pPr>
        <w:spacing w:after="0"/>
        <w:rPr>
          <w:rFonts w:eastAsia="Times New Roman"/>
          <w:lang w:val="en-US"/>
        </w:rPr>
      </w:pPr>
    </w:p>
    <w:p w14:paraId="62F1324E" w14:textId="77777777" w:rsidR="00E418B8" w:rsidRPr="007E5B31" w:rsidRDefault="00E418B8" w:rsidP="00E418B8">
      <w:pPr>
        <w:contextualSpacing/>
        <w:rPr>
          <w:color w:val="4472C4" w:themeColor="accent1"/>
          <w:lang w:eastAsia="x-none"/>
        </w:rPr>
      </w:pPr>
      <w:r w:rsidRPr="007E5B31">
        <w:rPr>
          <w:color w:val="4472C4" w:themeColor="accent1"/>
          <w:lang w:eastAsia="x-none"/>
        </w:rPr>
        <w:t>FFS whether PDU session information should and can be included in the RVQoE report</w:t>
      </w:r>
    </w:p>
    <w:p w14:paraId="380E6295" w14:textId="1AE8B1B8" w:rsidR="00E418B8" w:rsidRDefault="00E418B8" w:rsidP="004377CD">
      <w:pPr>
        <w:spacing w:after="0"/>
        <w:rPr>
          <w:rFonts w:eastAsia="Times New Roman"/>
          <w:lang w:val="en-US"/>
        </w:rPr>
      </w:pPr>
    </w:p>
    <w:p w14:paraId="2E3D145E" w14:textId="04C7AA2D" w:rsidR="006E7099" w:rsidRDefault="006B0829" w:rsidP="004377CD">
      <w:pPr>
        <w:spacing w:after="0"/>
        <w:rPr>
          <w:rFonts w:eastAsia="Times New Roman"/>
          <w:lang w:val="en-US"/>
        </w:rPr>
      </w:pPr>
      <w:r>
        <w:rPr>
          <w:rFonts w:eastAsia="Times New Roman"/>
          <w:lang w:val="en-US"/>
        </w:rPr>
        <w:t xml:space="preserve">It was </w:t>
      </w:r>
      <w:r w:rsidR="00E716E1">
        <w:rPr>
          <w:rFonts w:eastAsia="Times New Roman"/>
          <w:lang w:val="en-US"/>
        </w:rPr>
        <w:t>discussed last meeting whether r</w:t>
      </w:r>
      <w:r w:rsidR="006E7099" w:rsidRPr="006E7099">
        <w:rPr>
          <w:rFonts w:eastAsia="Times New Roman"/>
          <w:lang w:val="en-US"/>
        </w:rPr>
        <w:t xml:space="preserve">eporting </w:t>
      </w:r>
      <w:r w:rsidR="00AB6AA7">
        <w:rPr>
          <w:rFonts w:eastAsia="Times New Roman"/>
          <w:lang w:val="en-US"/>
        </w:rPr>
        <w:t>PDU session information (</w:t>
      </w:r>
      <w:r>
        <w:rPr>
          <w:rFonts w:eastAsia="Times New Roman"/>
          <w:lang w:val="en-US"/>
        </w:rPr>
        <w:t xml:space="preserve">e.g., </w:t>
      </w:r>
      <w:r w:rsidR="006E7099" w:rsidRPr="006E7099">
        <w:rPr>
          <w:rFonts w:eastAsia="Times New Roman"/>
          <w:lang w:val="en-US"/>
        </w:rPr>
        <w:t xml:space="preserve">DRB </w:t>
      </w:r>
      <w:r w:rsidR="00AB6AA7">
        <w:rPr>
          <w:rFonts w:eastAsia="Times New Roman"/>
          <w:lang w:val="en-US"/>
        </w:rPr>
        <w:t xml:space="preserve">ID, PDU session ID, </w:t>
      </w:r>
      <w:r w:rsidR="006E7099" w:rsidRPr="006E7099">
        <w:rPr>
          <w:rFonts w:eastAsia="Times New Roman"/>
          <w:lang w:val="en-US"/>
        </w:rPr>
        <w:t xml:space="preserve">QoS </w:t>
      </w:r>
      <w:r w:rsidR="00AB6AA7">
        <w:rPr>
          <w:rFonts w:eastAsia="Times New Roman"/>
          <w:lang w:val="en-US"/>
        </w:rPr>
        <w:t>F</w:t>
      </w:r>
      <w:r w:rsidR="006E7099" w:rsidRPr="006E7099">
        <w:rPr>
          <w:rFonts w:eastAsia="Times New Roman"/>
          <w:lang w:val="en-US"/>
        </w:rPr>
        <w:t>low</w:t>
      </w:r>
      <w:r w:rsidR="00AB6AA7">
        <w:rPr>
          <w:rFonts w:eastAsia="Times New Roman"/>
          <w:lang w:val="en-US"/>
        </w:rPr>
        <w:t xml:space="preserve"> ID) </w:t>
      </w:r>
      <w:r w:rsidR="00044A44">
        <w:rPr>
          <w:rFonts w:eastAsia="Times New Roman"/>
          <w:lang w:val="en-US"/>
        </w:rPr>
        <w:t xml:space="preserve">in RVQoE report </w:t>
      </w:r>
      <w:r w:rsidR="00AB6AA7">
        <w:rPr>
          <w:rFonts w:eastAsia="Times New Roman"/>
          <w:lang w:val="en-US"/>
        </w:rPr>
        <w:t>ca</w:t>
      </w:r>
      <w:r w:rsidR="000E5AEC">
        <w:rPr>
          <w:rFonts w:eastAsia="Times New Roman"/>
          <w:lang w:val="en-US"/>
        </w:rPr>
        <w:t>n</w:t>
      </w:r>
      <w:r w:rsidR="006E7099" w:rsidRPr="006E7099">
        <w:rPr>
          <w:rFonts w:eastAsia="Times New Roman"/>
          <w:lang w:val="en-US"/>
        </w:rPr>
        <w:t xml:space="preserve"> enable RAN to optimize parameters configured for a radio bearer, Qo</w:t>
      </w:r>
      <w:r w:rsidR="00B85A2F">
        <w:rPr>
          <w:rFonts w:eastAsia="Times New Roman"/>
          <w:lang w:val="en-US"/>
        </w:rPr>
        <w:t>S</w:t>
      </w:r>
      <w:r w:rsidR="006E7099" w:rsidRPr="006E7099">
        <w:rPr>
          <w:rFonts w:eastAsia="Times New Roman"/>
          <w:lang w:val="en-US"/>
        </w:rPr>
        <w:t xml:space="preserve"> flow to DRB mapping, etc.</w:t>
      </w:r>
      <w:r w:rsidR="0043140C">
        <w:rPr>
          <w:rFonts w:eastAsia="Times New Roman"/>
          <w:lang w:val="en-US"/>
        </w:rPr>
        <w:t xml:space="preserve"> However, it is to be noted that QoE </w:t>
      </w:r>
      <w:r w:rsidR="00F63AE4">
        <w:rPr>
          <w:rFonts w:eastAsia="Times New Roman"/>
          <w:lang w:val="en-US"/>
        </w:rPr>
        <w:t>support for MR-DC is not supported in Rel-17 i.e., QoE is always configured and reported over MN</w:t>
      </w:r>
      <w:r w:rsidR="00394A66">
        <w:rPr>
          <w:rFonts w:eastAsia="Times New Roman"/>
          <w:lang w:val="en-US"/>
        </w:rPr>
        <w:t>. Therefore, we don’t see any benefits in reporting PDU session information in RVQoE report.</w:t>
      </w:r>
    </w:p>
    <w:p w14:paraId="7AD82A87" w14:textId="77777777" w:rsidR="003B02CD" w:rsidRDefault="003B02CD" w:rsidP="004377CD">
      <w:pPr>
        <w:spacing w:after="0"/>
        <w:rPr>
          <w:rFonts w:eastAsia="Times New Roman"/>
          <w:lang w:val="en-US"/>
        </w:rPr>
      </w:pPr>
    </w:p>
    <w:p w14:paraId="46665956" w14:textId="281884B3" w:rsidR="00394A66" w:rsidRDefault="003B02CD" w:rsidP="003B02CD">
      <w:pPr>
        <w:rPr>
          <w:rFonts w:eastAsia="Times New Roman"/>
          <w:b/>
          <w:bCs/>
          <w:lang w:val="en-US"/>
        </w:rPr>
      </w:pPr>
      <w:r w:rsidRPr="00563FBD">
        <w:rPr>
          <w:b/>
          <w:bCs/>
          <w:lang w:eastAsia="x-none"/>
        </w:rPr>
        <w:t>Observation</w:t>
      </w:r>
      <w:r>
        <w:rPr>
          <w:b/>
          <w:bCs/>
          <w:lang w:eastAsia="x-none"/>
        </w:rPr>
        <w:t xml:space="preserve"> </w:t>
      </w:r>
      <w:r w:rsidR="00E33746">
        <w:rPr>
          <w:b/>
          <w:bCs/>
          <w:lang w:eastAsia="x-none"/>
        </w:rPr>
        <w:t>4</w:t>
      </w:r>
      <w:r>
        <w:rPr>
          <w:lang w:eastAsia="x-none"/>
        </w:rPr>
        <w:t>:</w:t>
      </w:r>
      <w:r w:rsidRPr="003B02CD">
        <w:t xml:space="preserve"> </w:t>
      </w:r>
      <w:r w:rsidRPr="003B02CD">
        <w:rPr>
          <w:lang w:eastAsia="x-none"/>
        </w:rPr>
        <w:t>QoE support for MR-DC is not supported in Rel-17 i.e., QoE is always configured and reported over MN</w:t>
      </w:r>
      <w:r w:rsidR="00377EEA">
        <w:rPr>
          <w:lang w:eastAsia="x-none"/>
        </w:rPr>
        <w:t xml:space="preserve"> in Rel-17</w:t>
      </w:r>
    </w:p>
    <w:p w14:paraId="30096510" w14:textId="436616A3" w:rsidR="004377CD" w:rsidRDefault="004377CD" w:rsidP="004377CD">
      <w:pPr>
        <w:spacing w:after="0"/>
        <w:rPr>
          <w:rFonts w:eastAsia="Times New Roman"/>
          <w:lang w:val="en-US"/>
        </w:rPr>
      </w:pPr>
      <w:r w:rsidRPr="00BB481B">
        <w:rPr>
          <w:rFonts w:eastAsia="Times New Roman"/>
          <w:b/>
          <w:bCs/>
          <w:lang w:val="en-US"/>
        </w:rPr>
        <w:t>Proposal</w:t>
      </w:r>
      <w:r w:rsidR="003B02CD">
        <w:rPr>
          <w:rFonts w:eastAsia="Times New Roman"/>
          <w:b/>
          <w:bCs/>
          <w:lang w:val="en-US"/>
        </w:rPr>
        <w:t xml:space="preserve"> </w:t>
      </w:r>
      <w:r w:rsidR="00321F02">
        <w:rPr>
          <w:rFonts w:eastAsia="Times New Roman"/>
          <w:b/>
          <w:bCs/>
          <w:lang w:val="en-US"/>
        </w:rPr>
        <w:t>11:</w:t>
      </w:r>
      <w:r w:rsidRPr="00BB481B">
        <w:rPr>
          <w:rFonts w:eastAsia="Times New Roman"/>
          <w:lang w:val="en-US"/>
        </w:rPr>
        <w:t xml:space="preserve"> </w:t>
      </w:r>
      <w:r w:rsidR="00F9099E">
        <w:rPr>
          <w:rFonts w:eastAsia="Times New Roman"/>
          <w:lang w:val="en-US"/>
        </w:rPr>
        <w:t>There is n</w:t>
      </w:r>
      <w:r w:rsidRPr="00BB481B">
        <w:rPr>
          <w:rFonts w:eastAsia="Times New Roman"/>
          <w:lang w:val="en-US"/>
        </w:rPr>
        <w:t xml:space="preserve">o need to include PDU session information </w:t>
      </w:r>
      <w:r w:rsidR="0043140C" w:rsidRPr="0043140C">
        <w:rPr>
          <w:rFonts w:eastAsia="Times New Roman"/>
          <w:lang w:val="en-US"/>
        </w:rPr>
        <w:t xml:space="preserve">(e.g., DRB ID, PDU session ID, QoS Flow ID) </w:t>
      </w:r>
      <w:r w:rsidRPr="00BB481B">
        <w:rPr>
          <w:rFonts w:eastAsia="Times New Roman"/>
          <w:lang w:val="en-US"/>
        </w:rPr>
        <w:t xml:space="preserve">in the RVQoE report </w:t>
      </w:r>
    </w:p>
    <w:p w14:paraId="1546B17A" w14:textId="5F7185BD" w:rsidR="007E5B31" w:rsidRPr="001062CC" w:rsidRDefault="00ED29F1" w:rsidP="007E5B31">
      <w:pPr>
        <w:pStyle w:val="Heading2"/>
        <w:numPr>
          <w:ilvl w:val="1"/>
          <w:numId w:val="2"/>
        </w:numPr>
        <w:tabs>
          <w:tab w:val="left" w:pos="720"/>
        </w:tabs>
        <w:rPr>
          <w:rFonts w:ascii="Times New Roman" w:hAnsi="Times New Roman"/>
        </w:rPr>
      </w:pPr>
      <w:r w:rsidRPr="001062CC">
        <w:rPr>
          <w:rFonts w:ascii="Times New Roman" w:hAnsi="Times New Roman"/>
        </w:rPr>
        <w:lastRenderedPageBreak/>
        <w:t>Mobility Support for RVQoE</w:t>
      </w:r>
    </w:p>
    <w:p w14:paraId="6E135DD8" w14:textId="19B27EDC" w:rsidR="00ED29F1" w:rsidRDefault="00ED29F1" w:rsidP="00ED29F1">
      <w:pPr>
        <w:rPr>
          <w:color w:val="4472C4" w:themeColor="accent1"/>
          <w:lang w:eastAsia="x-none"/>
        </w:rPr>
      </w:pPr>
      <w:r w:rsidRPr="00ED29F1">
        <w:rPr>
          <w:color w:val="4472C4" w:themeColor="accent1"/>
          <w:lang w:eastAsia="x-none"/>
        </w:rPr>
        <w:t>FFS whether the RVQoE configuration should be propagated from the source to target node upon mobility in RRC_CONNECTED and during context retrieval upon resumption from RRC_INACTIVE. The target/new RAN node may assemble a different RVQoE configuration</w:t>
      </w:r>
    </w:p>
    <w:p w14:paraId="54E610EB" w14:textId="7042AF07" w:rsidR="00B00B77" w:rsidRPr="00BB481B" w:rsidRDefault="00B00B77" w:rsidP="00B00B77">
      <w:pPr>
        <w:spacing w:after="0"/>
        <w:rPr>
          <w:rFonts w:eastAsia="Times New Roman"/>
          <w:lang w:val="en-US"/>
        </w:rPr>
      </w:pPr>
      <w:r w:rsidRPr="00BB481B">
        <w:rPr>
          <w:rFonts w:eastAsia="Times New Roman"/>
          <w:b/>
          <w:bCs/>
          <w:lang w:val="en-US"/>
        </w:rPr>
        <w:t>Proposal</w:t>
      </w:r>
      <w:r w:rsidR="00377EEA">
        <w:rPr>
          <w:rFonts w:eastAsia="Times New Roman"/>
          <w:b/>
          <w:bCs/>
          <w:lang w:val="en-US"/>
        </w:rPr>
        <w:t xml:space="preserve"> </w:t>
      </w:r>
      <w:r w:rsidR="00321F02">
        <w:rPr>
          <w:rFonts w:eastAsia="Times New Roman"/>
          <w:b/>
          <w:bCs/>
          <w:lang w:val="en-US"/>
        </w:rPr>
        <w:t>12</w:t>
      </w:r>
      <w:r w:rsidRPr="00BB481B">
        <w:rPr>
          <w:rFonts w:eastAsia="Times New Roman"/>
          <w:lang w:val="en-US"/>
        </w:rPr>
        <w:t>: RVQoE configuration can be propagated from the source to target node upon mobility in RRC_CONNECTED and during context retrieval upon resumption from RRC_INACTIVE. The target/new RAN node may assemble a different RVQoE configuration</w:t>
      </w:r>
    </w:p>
    <w:p w14:paraId="64C58227" w14:textId="081EF6A7" w:rsidR="00B00B77" w:rsidRDefault="00B00B77" w:rsidP="00ED29F1">
      <w:pPr>
        <w:rPr>
          <w:color w:val="4472C4" w:themeColor="accent1"/>
          <w:lang w:eastAsia="x-none"/>
        </w:rPr>
      </w:pPr>
    </w:p>
    <w:p w14:paraId="21248598" w14:textId="60EB762F" w:rsidR="00ED29F1" w:rsidRDefault="00ED29F1" w:rsidP="00ED29F1">
      <w:pPr>
        <w:rPr>
          <w:color w:val="4472C4" w:themeColor="accent1"/>
          <w:lang w:eastAsia="x-none"/>
        </w:rPr>
      </w:pPr>
      <w:r w:rsidRPr="001062CC">
        <w:rPr>
          <w:color w:val="4472C4" w:themeColor="accent1"/>
          <w:lang w:eastAsia="x-none"/>
        </w:rPr>
        <w:t>FFS whether the RVQoE report be signalled from the target to the source node after a successful handover</w:t>
      </w:r>
    </w:p>
    <w:p w14:paraId="4893AA7C" w14:textId="6340ED08" w:rsidR="00B00B77" w:rsidRPr="00ED29F1" w:rsidRDefault="00B00B77" w:rsidP="00B00B77">
      <w:pPr>
        <w:rPr>
          <w:lang w:eastAsia="x-none"/>
        </w:rPr>
      </w:pPr>
      <w:r w:rsidRPr="00B00B77">
        <w:rPr>
          <w:lang w:eastAsia="x-none"/>
        </w:rPr>
        <w:t xml:space="preserve">There might be scenarios where the RVQoE report for the source node is sent by the UE after a handover. In such cases, RVQoE report sent by the UE can be used by the source node to optimize the network configuration and to evaluate the handover performance. </w:t>
      </w:r>
      <w:r w:rsidR="00377EEA" w:rsidRPr="00B00B77">
        <w:rPr>
          <w:lang w:eastAsia="x-none"/>
        </w:rPr>
        <w:t>Therefore,</w:t>
      </w:r>
      <w:r w:rsidRPr="00B00B77">
        <w:rPr>
          <w:lang w:eastAsia="x-none"/>
        </w:rPr>
        <w:t xml:space="preserve"> there are merits in propagating the RVQoE report from the target to the source node after a successful handover.</w:t>
      </w:r>
    </w:p>
    <w:p w14:paraId="10F13B14" w14:textId="7158C512" w:rsidR="00B00B77" w:rsidRPr="00BB481B" w:rsidRDefault="00B00B77" w:rsidP="00B00B77">
      <w:pPr>
        <w:spacing w:after="0"/>
        <w:rPr>
          <w:rFonts w:eastAsia="Times New Roman"/>
          <w:lang w:val="en-US"/>
        </w:rPr>
      </w:pPr>
      <w:r w:rsidRPr="00BB481B">
        <w:rPr>
          <w:rFonts w:eastAsia="Times New Roman"/>
          <w:b/>
          <w:bCs/>
          <w:lang w:val="en-US"/>
        </w:rPr>
        <w:t>Proposal</w:t>
      </w:r>
      <w:r w:rsidR="00377EEA">
        <w:rPr>
          <w:rFonts w:eastAsia="Times New Roman"/>
          <w:b/>
          <w:bCs/>
          <w:lang w:val="en-US"/>
        </w:rPr>
        <w:t xml:space="preserve"> </w:t>
      </w:r>
      <w:r w:rsidR="00E33746">
        <w:rPr>
          <w:rFonts w:eastAsia="Times New Roman"/>
          <w:b/>
          <w:bCs/>
          <w:lang w:val="en-US"/>
        </w:rPr>
        <w:t>1</w:t>
      </w:r>
      <w:r w:rsidR="00321F02">
        <w:rPr>
          <w:rFonts w:eastAsia="Times New Roman"/>
          <w:b/>
          <w:bCs/>
          <w:lang w:val="en-US"/>
        </w:rPr>
        <w:t>3</w:t>
      </w:r>
      <w:r w:rsidRPr="00BB481B">
        <w:rPr>
          <w:rFonts w:eastAsia="Times New Roman"/>
          <w:lang w:val="en-US"/>
        </w:rPr>
        <w:t>: RVQoE report can be signaled from the target to the source node after a successful handover</w:t>
      </w:r>
    </w:p>
    <w:p w14:paraId="4421E681" w14:textId="6394BF3F" w:rsidR="00B00B77" w:rsidRDefault="00B00B77" w:rsidP="00ED29F1">
      <w:pPr>
        <w:rPr>
          <w:color w:val="4472C4" w:themeColor="accent1"/>
          <w:lang w:eastAsia="x-none"/>
        </w:rPr>
      </w:pPr>
    </w:p>
    <w:p w14:paraId="61D76C89" w14:textId="5882614E" w:rsidR="00015016" w:rsidRPr="001062CC" w:rsidRDefault="005422D9" w:rsidP="00015016">
      <w:pPr>
        <w:pStyle w:val="Heading2"/>
        <w:numPr>
          <w:ilvl w:val="1"/>
          <w:numId w:val="2"/>
        </w:numPr>
        <w:tabs>
          <w:tab w:val="left" w:pos="720"/>
        </w:tabs>
        <w:rPr>
          <w:rFonts w:ascii="Times New Roman" w:hAnsi="Times New Roman"/>
        </w:rPr>
      </w:pPr>
      <w:r>
        <w:rPr>
          <w:rFonts w:ascii="Times New Roman" w:hAnsi="Times New Roman"/>
        </w:rPr>
        <w:t>How does NG-RAN know which RVQoE metrics are available to be collected?</w:t>
      </w:r>
    </w:p>
    <w:p w14:paraId="428BAD5C" w14:textId="51C34FA2" w:rsidR="00A206EB" w:rsidRDefault="00762232" w:rsidP="00D47FAE">
      <w:pPr>
        <w:contextualSpacing/>
        <w:rPr>
          <w:rFonts w:eastAsiaTheme="minorEastAsia"/>
          <w:color w:val="4472C4" w:themeColor="accent1"/>
          <w:lang w:val="en-US" w:eastAsia="zh-CN"/>
        </w:rPr>
      </w:pPr>
      <w:r w:rsidRPr="001062CC">
        <w:rPr>
          <w:rFonts w:eastAsiaTheme="minorEastAsia"/>
          <w:color w:val="4472C4" w:themeColor="accent1"/>
          <w:lang w:val="en-US" w:eastAsia="zh-CN"/>
        </w:rPr>
        <w:t>FFS whether the OAM indicates to the RAN, outside the QoE configuration container, which RVQoE metrics are available for the RAN to configure the UE to collect, or the RAN can conclude this from the UE capability indication and the service type configured for the UE</w:t>
      </w:r>
    </w:p>
    <w:p w14:paraId="4CD2E96B" w14:textId="52519978" w:rsidR="0050190D" w:rsidRDefault="0050190D" w:rsidP="00D47FAE">
      <w:pPr>
        <w:contextualSpacing/>
        <w:rPr>
          <w:rFonts w:eastAsiaTheme="minorEastAsia"/>
          <w:color w:val="4472C4" w:themeColor="accent1"/>
          <w:lang w:val="en-US" w:eastAsia="zh-CN"/>
        </w:rPr>
      </w:pPr>
    </w:p>
    <w:p w14:paraId="1F796424" w14:textId="04AF0300" w:rsidR="0050190D" w:rsidRDefault="00933C3E" w:rsidP="00D47FAE">
      <w:pPr>
        <w:contextualSpacing/>
        <w:rPr>
          <w:rFonts w:eastAsiaTheme="minorEastAsia"/>
          <w:lang w:val="en-US" w:eastAsia="zh-CN"/>
        </w:rPr>
      </w:pPr>
      <w:r w:rsidRPr="00933C3E">
        <w:rPr>
          <w:rFonts w:eastAsiaTheme="minorEastAsia"/>
          <w:lang w:val="en-US" w:eastAsia="zh-CN"/>
        </w:rPr>
        <w:t>RAN can figure out by itself which RVQoE it can configure to the UE. RAN knows the UE capability for each RVQoE metric and should also know which service type is already configured at the UE via legacy QoE configuration. There is no need for OAM to indicate to the RAN, outside the QoE configuration container, which RVQoE metrics are available for the RAN to configure the UE to collect</w:t>
      </w:r>
      <w:r w:rsidR="002D08B0">
        <w:rPr>
          <w:rFonts w:eastAsiaTheme="minorEastAsia"/>
          <w:lang w:val="en-US" w:eastAsia="zh-CN"/>
        </w:rPr>
        <w:t>.</w:t>
      </w:r>
    </w:p>
    <w:p w14:paraId="7FB7230F" w14:textId="77777777" w:rsidR="002D08B0" w:rsidRPr="00933C3E" w:rsidRDefault="002D08B0" w:rsidP="00D47FAE">
      <w:pPr>
        <w:contextualSpacing/>
        <w:rPr>
          <w:rFonts w:eastAsiaTheme="minorEastAsia"/>
          <w:lang w:val="en-US" w:eastAsia="zh-CN"/>
        </w:rPr>
      </w:pPr>
    </w:p>
    <w:p w14:paraId="5D5F36BE" w14:textId="45B4D5A2" w:rsidR="002D08B0" w:rsidRPr="00BB481B" w:rsidRDefault="002D08B0" w:rsidP="002D08B0">
      <w:pPr>
        <w:spacing w:after="0"/>
        <w:rPr>
          <w:rFonts w:eastAsia="Times New Roman"/>
          <w:lang w:val="en-US"/>
        </w:rPr>
      </w:pPr>
      <w:r w:rsidRPr="00BB481B">
        <w:rPr>
          <w:rFonts w:eastAsia="Times New Roman"/>
          <w:b/>
          <w:bCs/>
          <w:lang w:val="en-US"/>
        </w:rPr>
        <w:t>Proposa</w:t>
      </w:r>
      <w:r>
        <w:rPr>
          <w:rFonts w:eastAsia="Times New Roman"/>
          <w:b/>
          <w:bCs/>
          <w:lang w:val="en-US"/>
        </w:rPr>
        <w:t>l</w:t>
      </w:r>
      <w:r w:rsidR="00377EEA">
        <w:rPr>
          <w:rFonts w:eastAsia="Times New Roman"/>
          <w:b/>
          <w:bCs/>
          <w:lang w:val="en-US"/>
        </w:rPr>
        <w:t xml:space="preserve"> 1</w:t>
      </w:r>
      <w:r w:rsidR="00321F02">
        <w:rPr>
          <w:rFonts w:eastAsia="Times New Roman"/>
          <w:b/>
          <w:bCs/>
          <w:lang w:val="en-US"/>
        </w:rPr>
        <w:t>4</w:t>
      </w:r>
      <w:r w:rsidRPr="00BB481B">
        <w:rPr>
          <w:rFonts w:eastAsia="Times New Roman"/>
          <w:b/>
          <w:bCs/>
          <w:lang w:val="en-US"/>
        </w:rPr>
        <w:t xml:space="preserve">: </w:t>
      </w:r>
      <w:r w:rsidRPr="00BB481B">
        <w:rPr>
          <w:rFonts w:eastAsia="Times New Roman"/>
          <w:lang w:val="en-US"/>
        </w:rPr>
        <w:t xml:space="preserve"> NG-RAN can conclude which RVQoE metrics are available to be collected from the UE via UE capability signaling and the service type configured for the UE (no need for OAM to configure this explicitly in the QoE configuration container)</w:t>
      </w:r>
    </w:p>
    <w:p w14:paraId="4E446F27" w14:textId="5D157831" w:rsidR="00A56923" w:rsidRDefault="00A56923" w:rsidP="00D47FAE">
      <w:pPr>
        <w:contextualSpacing/>
        <w:rPr>
          <w:rFonts w:eastAsiaTheme="minorEastAsia"/>
          <w:color w:val="4472C4" w:themeColor="accent1"/>
          <w:lang w:val="en-US" w:eastAsia="zh-CN"/>
        </w:rPr>
      </w:pPr>
    </w:p>
    <w:p w14:paraId="7BA90D3D" w14:textId="5D02B13C" w:rsidR="00A376F2" w:rsidRDefault="00A376F2" w:rsidP="00A376F2">
      <w:pPr>
        <w:pStyle w:val="Heading2"/>
        <w:numPr>
          <w:ilvl w:val="1"/>
          <w:numId w:val="2"/>
        </w:numPr>
        <w:tabs>
          <w:tab w:val="left" w:pos="720"/>
        </w:tabs>
        <w:rPr>
          <w:rFonts w:ascii="Times New Roman" w:hAnsi="Times New Roman"/>
        </w:rPr>
      </w:pPr>
      <w:r>
        <w:rPr>
          <w:rFonts w:ascii="Times New Roman" w:hAnsi="Times New Roman"/>
        </w:rPr>
        <w:t>Multiple simultaneous RVQoE</w:t>
      </w:r>
    </w:p>
    <w:p w14:paraId="39A72947" w14:textId="77777777" w:rsidR="00210F29" w:rsidRPr="00EC6651" w:rsidRDefault="00210F29" w:rsidP="00210F29">
      <w:pPr>
        <w:overflowPunct w:val="0"/>
        <w:autoSpaceDE w:val="0"/>
        <w:autoSpaceDN w:val="0"/>
        <w:adjustRightInd w:val="0"/>
        <w:spacing w:beforeLines="50" w:before="120" w:after="0"/>
        <w:jc w:val="both"/>
        <w:textAlignment w:val="baseline"/>
        <w:rPr>
          <w:color w:val="00B050"/>
        </w:rPr>
      </w:pPr>
      <w:r w:rsidRPr="00EC6651">
        <w:rPr>
          <w:color w:val="00B050"/>
        </w:rPr>
        <w:t>Multiple simultaneous RVQoE measurements are supported</w:t>
      </w:r>
    </w:p>
    <w:p w14:paraId="0D6876FA" w14:textId="5D5F1B3D" w:rsidR="00A376F2" w:rsidRDefault="00A376F2" w:rsidP="00A56923">
      <w:pPr>
        <w:overflowPunct w:val="0"/>
        <w:autoSpaceDE w:val="0"/>
        <w:autoSpaceDN w:val="0"/>
        <w:adjustRightInd w:val="0"/>
        <w:spacing w:beforeLines="50" w:before="120" w:after="0"/>
        <w:contextualSpacing/>
        <w:jc w:val="both"/>
        <w:textAlignment w:val="baseline"/>
      </w:pPr>
    </w:p>
    <w:p w14:paraId="24A4E820" w14:textId="5AE3B4A0" w:rsidR="00FB57F5" w:rsidRDefault="0042441F" w:rsidP="00A56923">
      <w:pPr>
        <w:overflowPunct w:val="0"/>
        <w:autoSpaceDE w:val="0"/>
        <w:autoSpaceDN w:val="0"/>
        <w:adjustRightInd w:val="0"/>
        <w:spacing w:beforeLines="50" w:before="120" w:after="0"/>
        <w:contextualSpacing/>
        <w:jc w:val="both"/>
        <w:textAlignment w:val="baseline"/>
      </w:pPr>
      <w:r w:rsidRPr="00EC6651">
        <w:rPr>
          <w:b/>
          <w:bCs/>
        </w:rPr>
        <w:t>Observation</w:t>
      </w:r>
      <w:r w:rsidR="00377EEA">
        <w:rPr>
          <w:b/>
          <w:bCs/>
        </w:rPr>
        <w:t xml:space="preserve"> </w:t>
      </w:r>
      <w:r w:rsidR="00E33746">
        <w:rPr>
          <w:b/>
          <w:bCs/>
        </w:rPr>
        <w:t>5</w:t>
      </w:r>
      <w:r>
        <w:t xml:space="preserve">: </w:t>
      </w:r>
      <w:r w:rsidR="00FB57F5">
        <w:t xml:space="preserve">SA5 </w:t>
      </w:r>
      <w:r>
        <w:t xml:space="preserve">confirmed that multiple </w:t>
      </w:r>
      <w:r w:rsidR="00330F71">
        <w:t>simultaneous</w:t>
      </w:r>
      <w:r>
        <w:t xml:space="preserve"> </w:t>
      </w:r>
      <w:r w:rsidR="00330F71">
        <w:t xml:space="preserve">legacy </w:t>
      </w:r>
      <w:r>
        <w:t>QoE measurements for the same service type can be supported</w:t>
      </w:r>
    </w:p>
    <w:p w14:paraId="0D767B37" w14:textId="5C2687EF" w:rsidR="00FB57F5" w:rsidRDefault="00FB57F5" w:rsidP="00A56923">
      <w:pPr>
        <w:overflowPunct w:val="0"/>
        <w:autoSpaceDE w:val="0"/>
        <w:autoSpaceDN w:val="0"/>
        <w:adjustRightInd w:val="0"/>
        <w:spacing w:beforeLines="50" w:before="120" w:after="0"/>
        <w:contextualSpacing/>
        <w:jc w:val="both"/>
        <w:textAlignment w:val="baseline"/>
      </w:pPr>
    </w:p>
    <w:p w14:paraId="5F138B5B" w14:textId="7C9AFA36" w:rsidR="0042441F" w:rsidRPr="00EC6651" w:rsidRDefault="002E0DD3" w:rsidP="0042441F">
      <w:pPr>
        <w:rPr>
          <w:lang w:eastAsia="x-none"/>
        </w:rPr>
      </w:pPr>
      <w:r w:rsidRPr="00EC6651">
        <w:rPr>
          <w:lang w:eastAsia="x-none"/>
        </w:rPr>
        <w:t xml:space="preserve">In light of Observation, </w:t>
      </w:r>
      <w:r w:rsidR="0042441F" w:rsidRPr="00EC6651">
        <w:rPr>
          <w:lang w:eastAsia="x-none"/>
        </w:rPr>
        <w:t xml:space="preserve">we </w:t>
      </w:r>
      <w:r w:rsidRPr="00EC6651">
        <w:rPr>
          <w:lang w:eastAsia="x-none"/>
        </w:rPr>
        <w:t>should also address whether</w:t>
      </w:r>
      <w:r w:rsidR="0042441F" w:rsidRPr="00EC6651">
        <w:rPr>
          <w:lang w:eastAsia="x-none"/>
        </w:rPr>
        <w:t xml:space="preserve"> multiple simultaneous RVQoE for the same service type</w:t>
      </w:r>
      <w:r w:rsidRPr="00EC6651">
        <w:rPr>
          <w:lang w:eastAsia="x-none"/>
        </w:rPr>
        <w:t xml:space="preserve"> needs to be supported. </w:t>
      </w:r>
    </w:p>
    <w:p w14:paraId="607DDEBA" w14:textId="78F261EC" w:rsidR="002E0DD3" w:rsidRPr="00EC6651" w:rsidRDefault="002E0DD3" w:rsidP="0042441F">
      <w:pPr>
        <w:rPr>
          <w:lang w:eastAsia="x-none"/>
        </w:rPr>
      </w:pPr>
      <w:r w:rsidRPr="00EC6651">
        <w:rPr>
          <w:lang w:eastAsia="x-none"/>
        </w:rPr>
        <w:t>For example</w:t>
      </w:r>
      <w:r w:rsidR="003D0AF9">
        <w:rPr>
          <w:lang w:eastAsia="x-none"/>
        </w:rPr>
        <w:t>, a sample RVQoE configuration can be as follows:</w:t>
      </w:r>
    </w:p>
    <w:p w14:paraId="0F0F9D8A" w14:textId="651B7C37" w:rsidR="003D0AF9" w:rsidRPr="003D0AF9" w:rsidRDefault="003D0AF9" w:rsidP="002E0DD3">
      <w:pPr>
        <w:overflowPunct w:val="0"/>
        <w:autoSpaceDE w:val="0"/>
        <w:autoSpaceDN w:val="0"/>
        <w:adjustRightInd w:val="0"/>
        <w:spacing w:beforeLines="50" w:before="120" w:after="0"/>
        <w:contextualSpacing/>
        <w:jc w:val="both"/>
        <w:textAlignment w:val="baseline"/>
      </w:pPr>
      <w:r w:rsidRPr="003D0AF9">
        <w:t>[</w:t>
      </w:r>
    </w:p>
    <w:p w14:paraId="4851ABD5" w14:textId="5F63B47A" w:rsidR="002E0DD3" w:rsidRPr="003D0AF9" w:rsidRDefault="002E0DD3" w:rsidP="003D0AF9">
      <w:pPr>
        <w:overflowPunct w:val="0"/>
        <w:autoSpaceDE w:val="0"/>
        <w:autoSpaceDN w:val="0"/>
        <w:adjustRightInd w:val="0"/>
        <w:spacing w:beforeLines="50" w:before="120" w:after="0"/>
        <w:ind w:left="720"/>
        <w:contextualSpacing/>
        <w:jc w:val="both"/>
        <w:textAlignment w:val="baseline"/>
      </w:pPr>
      <w:r w:rsidRPr="003D0AF9">
        <w:t xml:space="preserve">Service Type X, </w:t>
      </w:r>
      <w:r w:rsidR="003D0AF9" w:rsidRPr="003D0AF9">
        <w:t>measConfigAppLayerID</w:t>
      </w:r>
      <w:r w:rsidRPr="003D0AF9">
        <w:t xml:space="preserve"> 1, </w:t>
      </w:r>
      <w:r w:rsidR="00EC6651" w:rsidRPr="003D0AF9">
        <w:t xml:space="preserve">RVQoE metrics = Buffer Level </w:t>
      </w:r>
    </w:p>
    <w:p w14:paraId="0039E26D" w14:textId="4E6CAA32" w:rsidR="002E0DD3" w:rsidRPr="003D0AF9" w:rsidRDefault="002E0DD3" w:rsidP="003D0AF9">
      <w:pPr>
        <w:overflowPunct w:val="0"/>
        <w:autoSpaceDE w:val="0"/>
        <w:autoSpaceDN w:val="0"/>
        <w:adjustRightInd w:val="0"/>
        <w:spacing w:beforeLines="50" w:before="120" w:after="0"/>
        <w:ind w:left="720"/>
        <w:contextualSpacing/>
        <w:jc w:val="both"/>
        <w:textAlignment w:val="baseline"/>
      </w:pPr>
      <w:r w:rsidRPr="003D0AF9">
        <w:t xml:space="preserve">Service Type X, </w:t>
      </w:r>
      <w:r w:rsidR="003D0AF9" w:rsidRPr="003D0AF9">
        <w:t xml:space="preserve">measConfigAppLayerID </w:t>
      </w:r>
      <w:r w:rsidRPr="003D0AF9">
        <w:t>2</w:t>
      </w:r>
      <w:r w:rsidR="00EC6651" w:rsidRPr="003D0AF9">
        <w:t>, RVQoE metrics = Buffer Level</w:t>
      </w:r>
    </w:p>
    <w:p w14:paraId="47B00D1F" w14:textId="242C3151" w:rsidR="002E0DD3" w:rsidRPr="003D0AF9" w:rsidRDefault="002E0DD3" w:rsidP="003D0AF9">
      <w:pPr>
        <w:overflowPunct w:val="0"/>
        <w:autoSpaceDE w:val="0"/>
        <w:autoSpaceDN w:val="0"/>
        <w:adjustRightInd w:val="0"/>
        <w:spacing w:beforeLines="50" w:before="120" w:after="0"/>
        <w:ind w:left="720"/>
        <w:contextualSpacing/>
        <w:jc w:val="both"/>
        <w:textAlignment w:val="baseline"/>
      </w:pPr>
      <w:r w:rsidRPr="003D0AF9">
        <w:t xml:space="preserve">Service Type Y, </w:t>
      </w:r>
      <w:r w:rsidR="003D0AF9" w:rsidRPr="003D0AF9">
        <w:t xml:space="preserve">measConfigAppLayerID </w:t>
      </w:r>
      <w:r w:rsidRPr="003D0AF9">
        <w:t>3</w:t>
      </w:r>
      <w:r w:rsidR="00EC6651" w:rsidRPr="003D0AF9">
        <w:t>, RVQoE metrics = Playout delay</w:t>
      </w:r>
    </w:p>
    <w:p w14:paraId="7E3C0187" w14:textId="09D9CEF4" w:rsidR="0042441F" w:rsidRDefault="003D0AF9" w:rsidP="00FB57F5">
      <w:pPr>
        <w:rPr>
          <w:lang w:eastAsia="x-none"/>
        </w:rPr>
      </w:pPr>
      <w:r w:rsidRPr="003D0AF9">
        <w:rPr>
          <w:lang w:eastAsia="x-none"/>
        </w:rPr>
        <w:t>]</w:t>
      </w:r>
    </w:p>
    <w:p w14:paraId="03E5182C" w14:textId="3F2F36D3" w:rsidR="007D61F4" w:rsidRDefault="007D61F4" w:rsidP="00FB57F5">
      <w:pPr>
        <w:rPr>
          <w:lang w:eastAsia="x-none"/>
        </w:rPr>
      </w:pPr>
      <w:r>
        <w:rPr>
          <w:lang w:eastAsia="x-none"/>
        </w:rPr>
        <w:lastRenderedPageBreak/>
        <w:t>It is possible that a UE configured with multiple simultaneous legacy QoE measurements for the same service type (e.g., measConfigAppLayerID 1 and 2) can be configured to provide RVQoE metrics as well.</w:t>
      </w:r>
      <w:r w:rsidR="00583146">
        <w:rPr>
          <w:lang w:eastAsia="x-none"/>
        </w:rPr>
        <w:t xml:space="preserve"> </w:t>
      </w:r>
    </w:p>
    <w:p w14:paraId="39FDEC4D" w14:textId="2069C2F1" w:rsidR="00FB57F5" w:rsidRPr="00177B78" w:rsidRDefault="002E0DD3" w:rsidP="00FB57F5">
      <w:pPr>
        <w:rPr>
          <w:lang w:eastAsia="x-none"/>
        </w:rPr>
      </w:pPr>
      <w:r w:rsidRPr="00177B78">
        <w:rPr>
          <w:b/>
          <w:bCs/>
          <w:lang w:eastAsia="x-none"/>
        </w:rPr>
        <w:t>Proposal</w:t>
      </w:r>
      <w:r w:rsidR="00377EEA">
        <w:rPr>
          <w:b/>
          <w:bCs/>
          <w:lang w:eastAsia="x-none"/>
        </w:rPr>
        <w:t xml:space="preserve"> 1</w:t>
      </w:r>
      <w:r w:rsidR="00321F02">
        <w:rPr>
          <w:b/>
          <w:bCs/>
          <w:lang w:eastAsia="x-none"/>
        </w:rPr>
        <w:t>5</w:t>
      </w:r>
      <w:r w:rsidRPr="00177B78">
        <w:rPr>
          <w:lang w:eastAsia="x-none"/>
        </w:rPr>
        <w:t>: M</w:t>
      </w:r>
      <w:r w:rsidR="00FB57F5" w:rsidRPr="00177B78">
        <w:rPr>
          <w:lang w:eastAsia="x-none"/>
        </w:rPr>
        <w:t>ultiple simultaneous RVQoE for the same service type</w:t>
      </w:r>
      <w:r w:rsidRPr="00177B78">
        <w:rPr>
          <w:lang w:eastAsia="x-none"/>
        </w:rPr>
        <w:t xml:space="preserve"> can be supported</w:t>
      </w:r>
    </w:p>
    <w:p w14:paraId="1366FF75" w14:textId="16071583" w:rsidR="003713A2" w:rsidRPr="001062CC" w:rsidRDefault="003713A2" w:rsidP="003713A2">
      <w:pPr>
        <w:pStyle w:val="Heading2"/>
        <w:numPr>
          <w:ilvl w:val="1"/>
          <w:numId w:val="2"/>
        </w:numPr>
        <w:tabs>
          <w:tab w:val="left" w:pos="720"/>
        </w:tabs>
        <w:rPr>
          <w:rFonts w:ascii="Times New Roman" w:hAnsi="Times New Roman"/>
        </w:rPr>
      </w:pPr>
      <w:r w:rsidRPr="001062CC">
        <w:rPr>
          <w:rFonts w:ascii="Times New Roman" w:hAnsi="Times New Roman"/>
        </w:rPr>
        <w:t>R</w:t>
      </w:r>
      <w:r w:rsidR="00377EEA">
        <w:rPr>
          <w:rFonts w:ascii="Times New Roman" w:hAnsi="Times New Roman"/>
        </w:rPr>
        <w:t>A</w:t>
      </w:r>
      <w:r w:rsidRPr="001062CC">
        <w:rPr>
          <w:rFonts w:ascii="Times New Roman" w:hAnsi="Times New Roman"/>
        </w:rPr>
        <w:t>N Visible QoE Values</w:t>
      </w:r>
    </w:p>
    <w:p w14:paraId="7162E5B8" w14:textId="77777777" w:rsidR="003713A2" w:rsidRPr="00A94BD5" w:rsidRDefault="003713A2" w:rsidP="003713A2">
      <w:pPr>
        <w:rPr>
          <w:lang w:eastAsia="zh-CN"/>
        </w:rPr>
      </w:pPr>
      <w:r>
        <w:t>For defining RVQOE values, it was discussed in SI phase whether we can derive</w:t>
      </w:r>
      <w:r w:rsidRPr="00A94BD5">
        <w:rPr>
          <w:lang w:eastAsia="zh-CN"/>
        </w:rPr>
        <w:t xml:space="preserve"> </w:t>
      </w:r>
      <w:r w:rsidRPr="00A94BD5">
        <w:t xml:space="preserve">simplified values from </w:t>
      </w:r>
      <w:r w:rsidRPr="00A94BD5">
        <w:rPr>
          <w:lang w:eastAsia="zh-CN"/>
        </w:rPr>
        <w:t xml:space="preserve">individual </w:t>
      </w:r>
      <w:r w:rsidRPr="00A94BD5">
        <w:t xml:space="preserve">useful </w:t>
      </w:r>
      <w:r w:rsidRPr="00A94BD5">
        <w:rPr>
          <w:lang w:eastAsia="zh-CN"/>
        </w:rPr>
        <w:t>SA4-defined QoE metrics or combinations of these values in the form of e.g.:</w:t>
      </w:r>
    </w:p>
    <w:p w14:paraId="7A13C936" w14:textId="77777777" w:rsidR="003713A2" w:rsidRPr="00A94BD5" w:rsidRDefault="003713A2" w:rsidP="003713A2">
      <w:pPr>
        <w:pStyle w:val="ListParagraph"/>
        <w:numPr>
          <w:ilvl w:val="0"/>
          <w:numId w:val="5"/>
        </w:numPr>
        <w:overflowPunct w:val="0"/>
        <w:autoSpaceDE w:val="0"/>
        <w:autoSpaceDN w:val="0"/>
        <w:adjustRightInd w:val="0"/>
        <w:spacing w:after="120"/>
        <w:jc w:val="both"/>
        <w:textAlignment w:val="baseline"/>
      </w:pPr>
      <w:r w:rsidRPr="00A94BD5">
        <w:t>Numeric values on scale from 0 to x</w:t>
      </w:r>
    </w:p>
    <w:p w14:paraId="641B291B" w14:textId="77777777" w:rsidR="003713A2" w:rsidRPr="00A94BD5" w:rsidRDefault="003713A2" w:rsidP="003713A2">
      <w:pPr>
        <w:pStyle w:val="ListParagraph"/>
        <w:numPr>
          <w:ilvl w:val="0"/>
          <w:numId w:val="5"/>
        </w:numPr>
        <w:overflowPunct w:val="0"/>
        <w:autoSpaceDE w:val="0"/>
        <w:autoSpaceDN w:val="0"/>
        <w:adjustRightInd w:val="0"/>
        <w:spacing w:after="120"/>
        <w:jc w:val="both"/>
        <w:textAlignment w:val="baseline"/>
      </w:pPr>
      <w:r w:rsidRPr="00A94BD5">
        <w:t>Binary flags</w:t>
      </w:r>
    </w:p>
    <w:p w14:paraId="0104E0D5" w14:textId="77777777" w:rsidR="003713A2" w:rsidRPr="00E97718" w:rsidRDefault="003713A2" w:rsidP="003713A2">
      <w:pPr>
        <w:pStyle w:val="ListParagraph"/>
        <w:numPr>
          <w:ilvl w:val="0"/>
          <w:numId w:val="5"/>
        </w:numPr>
        <w:overflowPunct w:val="0"/>
        <w:autoSpaceDE w:val="0"/>
        <w:autoSpaceDN w:val="0"/>
        <w:adjustRightInd w:val="0"/>
        <w:spacing w:after="120"/>
        <w:jc w:val="both"/>
        <w:textAlignment w:val="baseline"/>
      </w:pPr>
      <w:r w:rsidRPr="00A94BD5">
        <w:rPr>
          <w:iCs/>
        </w:rPr>
        <w:t>Objective qualitative representations (“good QoE”, “moderate QoE”, “bad QoE”)</w:t>
      </w:r>
    </w:p>
    <w:p w14:paraId="3331EDB2" w14:textId="77777777" w:rsidR="003713A2" w:rsidRDefault="003713A2" w:rsidP="003713A2">
      <w:r>
        <w:t>For the above to work, a formula to represent the QoE values should be defined e.g., a threshold “X” needs to be defined for categorizing good QoE (small buffer) vs. bad QoE (large buffer) as shown below:</w:t>
      </w:r>
    </w:p>
    <w:tbl>
      <w:tblPr>
        <w:tblStyle w:val="TableGrid"/>
        <w:tblW w:w="0" w:type="auto"/>
        <w:tblInd w:w="360" w:type="dxa"/>
        <w:tblLook w:val="04A0" w:firstRow="1" w:lastRow="0" w:firstColumn="1" w:lastColumn="0" w:noHBand="0" w:noVBand="1"/>
      </w:tblPr>
      <w:tblGrid>
        <w:gridCol w:w="2695"/>
        <w:gridCol w:w="1514"/>
        <w:gridCol w:w="4781"/>
      </w:tblGrid>
      <w:tr w:rsidR="003713A2" w14:paraId="0BE75340" w14:textId="77777777" w:rsidTr="00F714C4">
        <w:tc>
          <w:tcPr>
            <w:tcW w:w="2695" w:type="dxa"/>
          </w:tcPr>
          <w:p w14:paraId="1D78A6DA" w14:textId="77777777" w:rsidR="003713A2" w:rsidRPr="00113FB9" w:rsidRDefault="003713A2" w:rsidP="00F714C4">
            <w:pPr>
              <w:rPr>
                <w:b/>
                <w:bCs/>
              </w:rPr>
            </w:pPr>
            <w:r w:rsidRPr="00113FB9">
              <w:rPr>
                <w:b/>
                <w:bCs/>
              </w:rPr>
              <w:t>Metric</w:t>
            </w:r>
          </w:p>
        </w:tc>
        <w:tc>
          <w:tcPr>
            <w:tcW w:w="1514" w:type="dxa"/>
          </w:tcPr>
          <w:p w14:paraId="38A5A85D" w14:textId="77777777" w:rsidR="003713A2" w:rsidRPr="00113FB9" w:rsidRDefault="003713A2" w:rsidP="00F714C4">
            <w:pPr>
              <w:rPr>
                <w:b/>
                <w:bCs/>
              </w:rPr>
            </w:pPr>
            <w:r w:rsidRPr="00113FB9">
              <w:rPr>
                <w:b/>
                <w:bCs/>
              </w:rPr>
              <w:t>Unit</w:t>
            </w:r>
          </w:p>
        </w:tc>
        <w:tc>
          <w:tcPr>
            <w:tcW w:w="4781" w:type="dxa"/>
          </w:tcPr>
          <w:p w14:paraId="4638CB98" w14:textId="77777777" w:rsidR="003713A2" w:rsidRPr="00113FB9" w:rsidRDefault="003713A2" w:rsidP="00F714C4">
            <w:pPr>
              <w:rPr>
                <w:b/>
                <w:bCs/>
              </w:rPr>
            </w:pPr>
            <w:r>
              <w:rPr>
                <w:b/>
                <w:bCs/>
              </w:rPr>
              <w:t>Formula for qualitative QoE metric</w:t>
            </w:r>
          </w:p>
        </w:tc>
      </w:tr>
      <w:tr w:rsidR="003713A2" w14:paraId="78664AE9" w14:textId="77777777" w:rsidTr="00F714C4">
        <w:tc>
          <w:tcPr>
            <w:tcW w:w="2695" w:type="dxa"/>
          </w:tcPr>
          <w:p w14:paraId="4471673C" w14:textId="77777777" w:rsidR="003713A2" w:rsidRDefault="003713A2" w:rsidP="00F714C4">
            <w:r>
              <w:t>Buffer level</w:t>
            </w:r>
          </w:p>
        </w:tc>
        <w:tc>
          <w:tcPr>
            <w:tcW w:w="1514" w:type="dxa"/>
          </w:tcPr>
          <w:p w14:paraId="4D925059" w14:textId="77777777" w:rsidR="003713A2" w:rsidRDefault="003713A2" w:rsidP="00F714C4">
            <w:r>
              <w:t>milliseconds</w:t>
            </w:r>
          </w:p>
        </w:tc>
        <w:tc>
          <w:tcPr>
            <w:tcW w:w="4781" w:type="dxa"/>
          </w:tcPr>
          <w:p w14:paraId="01214139" w14:textId="77777777" w:rsidR="003713A2" w:rsidRDefault="003713A2" w:rsidP="00F714C4">
            <w:r>
              <w:t>Example:</w:t>
            </w:r>
          </w:p>
          <w:p w14:paraId="73CFE7D8" w14:textId="77777777" w:rsidR="003713A2" w:rsidRDefault="003713A2" w:rsidP="00F714C4">
            <w:pPr>
              <w:pStyle w:val="ListParagraph"/>
              <w:numPr>
                <w:ilvl w:val="0"/>
                <w:numId w:val="6"/>
              </w:numPr>
            </w:pPr>
            <w:r>
              <w:t xml:space="preserve">Buffer level &lt; </w:t>
            </w:r>
            <w:r w:rsidRPr="00E97718">
              <w:rPr>
                <w:highlight w:val="yellow"/>
              </w:rPr>
              <w:t>X</w:t>
            </w:r>
            <w:r>
              <w:t xml:space="preserve"> ms – small buffer</w:t>
            </w:r>
          </w:p>
          <w:p w14:paraId="09FE35E5" w14:textId="77777777" w:rsidR="003713A2" w:rsidRDefault="003713A2" w:rsidP="00F714C4">
            <w:pPr>
              <w:pStyle w:val="ListParagraph"/>
              <w:numPr>
                <w:ilvl w:val="0"/>
                <w:numId w:val="6"/>
              </w:numPr>
            </w:pPr>
            <w:r>
              <w:t xml:space="preserve">Buffer level &gt;= </w:t>
            </w:r>
            <w:r w:rsidRPr="00E97718">
              <w:rPr>
                <w:highlight w:val="yellow"/>
              </w:rPr>
              <w:t>X</w:t>
            </w:r>
            <w:r>
              <w:t xml:space="preserve"> ms – large buffer</w:t>
            </w:r>
          </w:p>
        </w:tc>
      </w:tr>
      <w:tr w:rsidR="003713A2" w14:paraId="23F130B4" w14:textId="77777777" w:rsidTr="00F714C4">
        <w:tc>
          <w:tcPr>
            <w:tcW w:w="2695" w:type="dxa"/>
          </w:tcPr>
          <w:p w14:paraId="0754B9BE" w14:textId="77777777" w:rsidR="003713A2" w:rsidRDefault="003713A2" w:rsidP="00F714C4">
            <w:r>
              <w:t>Playout Delay for media start-up</w:t>
            </w:r>
          </w:p>
        </w:tc>
        <w:tc>
          <w:tcPr>
            <w:tcW w:w="1514" w:type="dxa"/>
          </w:tcPr>
          <w:p w14:paraId="5866737B" w14:textId="77777777" w:rsidR="003713A2" w:rsidRDefault="003713A2" w:rsidP="00F714C4">
            <w:r>
              <w:t>milliseconds</w:t>
            </w:r>
          </w:p>
        </w:tc>
        <w:tc>
          <w:tcPr>
            <w:tcW w:w="4781" w:type="dxa"/>
          </w:tcPr>
          <w:p w14:paraId="6D691E22" w14:textId="77777777" w:rsidR="003713A2" w:rsidRDefault="003713A2" w:rsidP="00F714C4">
            <w:r>
              <w:t>Example:</w:t>
            </w:r>
          </w:p>
          <w:p w14:paraId="74B5E021" w14:textId="77777777" w:rsidR="003713A2" w:rsidRDefault="003713A2" w:rsidP="00F714C4">
            <w:pPr>
              <w:pStyle w:val="ListParagraph"/>
              <w:numPr>
                <w:ilvl w:val="0"/>
                <w:numId w:val="6"/>
              </w:numPr>
            </w:pPr>
            <w:r>
              <w:t xml:space="preserve">Playout Delay &lt; </w:t>
            </w:r>
            <w:r w:rsidRPr="00E97718">
              <w:rPr>
                <w:highlight w:val="yellow"/>
              </w:rPr>
              <w:t>Y</w:t>
            </w:r>
            <w:r>
              <w:t xml:space="preserve"> ms – good QoE</w:t>
            </w:r>
          </w:p>
          <w:p w14:paraId="006453D8" w14:textId="77777777" w:rsidR="003713A2" w:rsidRDefault="003713A2" w:rsidP="00F714C4">
            <w:pPr>
              <w:pStyle w:val="ListParagraph"/>
              <w:numPr>
                <w:ilvl w:val="0"/>
                <w:numId w:val="6"/>
              </w:numPr>
            </w:pPr>
            <w:r>
              <w:t xml:space="preserve">Playout Delay &gt;= </w:t>
            </w:r>
            <w:r w:rsidRPr="00E97718">
              <w:rPr>
                <w:highlight w:val="yellow"/>
              </w:rPr>
              <w:t>Y</w:t>
            </w:r>
            <w:r>
              <w:t xml:space="preserve"> ms – bad QoE</w:t>
            </w:r>
          </w:p>
        </w:tc>
      </w:tr>
    </w:tbl>
    <w:p w14:paraId="76E63BCF" w14:textId="77777777" w:rsidR="003713A2" w:rsidRDefault="003713A2" w:rsidP="003713A2"/>
    <w:p w14:paraId="79917B4B" w14:textId="2308898C" w:rsidR="003713A2" w:rsidRDefault="003713A2" w:rsidP="003713A2">
      <w:r w:rsidRPr="005E3EF5">
        <w:rPr>
          <w:b/>
          <w:bCs/>
        </w:rPr>
        <w:t>Observation</w:t>
      </w:r>
      <w:r w:rsidR="00377EEA">
        <w:rPr>
          <w:b/>
          <w:bCs/>
        </w:rPr>
        <w:t xml:space="preserve"> </w:t>
      </w:r>
      <w:r w:rsidR="00E33746">
        <w:rPr>
          <w:b/>
          <w:bCs/>
        </w:rPr>
        <w:t>6</w:t>
      </w:r>
      <w:r w:rsidRPr="005E3EF5">
        <w:rPr>
          <w:b/>
          <w:bCs/>
        </w:rPr>
        <w:t>:</w:t>
      </w:r>
      <w:r>
        <w:t xml:space="preserve"> Qualitative representation of QoE metrics in terms of a numerical value or an objective representation requires a model/function to be defined for each RAN visible QoE metric</w:t>
      </w:r>
    </w:p>
    <w:p w14:paraId="5D33D944" w14:textId="62FB5AD0" w:rsidR="003713A2" w:rsidRDefault="003713A2" w:rsidP="003713A2">
      <w:r>
        <w:t xml:space="preserve">There are </w:t>
      </w:r>
      <w:r w:rsidR="00377EEA">
        <w:t>three</w:t>
      </w:r>
      <w:r>
        <w:t xml:space="preserve"> options which are possible for defining RVQOE values:</w:t>
      </w:r>
    </w:p>
    <w:p w14:paraId="2922EAA2" w14:textId="77777777" w:rsidR="003713A2" w:rsidRPr="001E197A" w:rsidRDefault="003713A2" w:rsidP="003713A2">
      <w:pPr>
        <w:rPr>
          <w:u w:val="single"/>
        </w:rPr>
      </w:pPr>
      <w:r w:rsidRPr="001E197A">
        <w:rPr>
          <w:b/>
          <w:bCs/>
          <w:u w:val="single"/>
        </w:rPr>
        <w:t>Option 1:</w:t>
      </w:r>
      <w:r w:rsidRPr="001E197A">
        <w:rPr>
          <w:u w:val="single"/>
        </w:rPr>
        <w:t xml:space="preserve"> </w:t>
      </w:r>
      <w:r>
        <w:rPr>
          <w:u w:val="single"/>
        </w:rPr>
        <w:t>Pre-defined formula in SA4 specs</w:t>
      </w:r>
    </w:p>
    <w:p w14:paraId="3B901607" w14:textId="77777777" w:rsidR="003713A2" w:rsidRDefault="003713A2" w:rsidP="003713A2">
      <w:pPr>
        <w:pStyle w:val="ListParagraph"/>
        <w:numPr>
          <w:ilvl w:val="0"/>
          <w:numId w:val="32"/>
        </w:numPr>
      </w:pPr>
      <w:r>
        <w:t xml:space="preserve">Formula/threshold for RVQOE values are pre-defined in the SA4 specifications </w:t>
      </w:r>
    </w:p>
    <w:p w14:paraId="21A9E7D5" w14:textId="77777777" w:rsidR="003713A2" w:rsidRPr="001E197A" w:rsidRDefault="003713A2" w:rsidP="003713A2">
      <w:pPr>
        <w:pStyle w:val="ListParagraph"/>
        <w:numPr>
          <w:ilvl w:val="0"/>
          <w:numId w:val="32"/>
        </w:numPr>
      </w:pPr>
      <w:r w:rsidRPr="001E197A">
        <w:t xml:space="preserve">UE APP computes </w:t>
      </w:r>
      <w:r>
        <w:t>(e.g.</w:t>
      </w:r>
      <w:r w:rsidRPr="001E197A">
        <w:t>, checks</w:t>
      </w:r>
      <w:r>
        <w:t xml:space="preserve"> whether buffer level is small or large) and reports the RVQOE value to the NG-RAN</w:t>
      </w:r>
    </w:p>
    <w:p w14:paraId="0E2F8F54" w14:textId="77777777" w:rsidR="003713A2" w:rsidRDefault="003713A2" w:rsidP="003713A2">
      <w:pPr>
        <w:rPr>
          <w:u w:val="single"/>
        </w:rPr>
      </w:pPr>
      <w:r w:rsidRPr="001E197A">
        <w:rPr>
          <w:b/>
          <w:bCs/>
          <w:u w:val="single"/>
        </w:rPr>
        <w:t>Option 2:</w:t>
      </w:r>
      <w:r w:rsidRPr="001E197A">
        <w:rPr>
          <w:u w:val="single"/>
        </w:rPr>
        <w:t xml:space="preserve"> Configurable by </w:t>
      </w:r>
      <w:r>
        <w:rPr>
          <w:u w:val="single"/>
        </w:rPr>
        <w:t>NG-</w:t>
      </w:r>
      <w:r w:rsidRPr="001E197A">
        <w:rPr>
          <w:u w:val="single"/>
        </w:rPr>
        <w:t>RAN</w:t>
      </w:r>
    </w:p>
    <w:p w14:paraId="519A3ECA" w14:textId="77777777" w:rsidR="003713A2" w:rsidRDefault="003713A2" w:rsidP="003713A2">
      <w:pPr>
        <w:pStyle w:val="ListParagraph"/>
        <w:numPr>
          <w:ilvl w:val="0"/>
          <w:numId w:val="33"/>
        </w:numPr>
      </w:pPr>
      <w:r w:rsidRPr="006811B1">
        <w:t>NG-RAN can configure</w:t>
      </w:r>
      <w:r>
        <w:t xml:space="preserve"> the formula/threshold to UE APP via RRC and AT commands</w:t>
      </w:r>
    </w:p>
    <w:p w14:paraId="2567AAD8" w14:textId="77777777" w:rsidR="003713A2" w:rsidRDefault="003713A2" w:rsidP="003713A2">
      <w:pPr>
        <w:pStyle w:val="ListParagraph"/>
        <w:numPr>
          <w:ilvl w:val="0"/>
          <w:numId w:val="33"/>
        </w:numPr>
      </w:pPr>
      <w:r w:rsidRPr="00E36D67">
        <w:t>UE APP</w:t>
      </w:r>
      <w:r>
        <w:t xml:space="preserve"> then computes and reports the RVQOE value based on the received configuration</w:t>
      </w:r>
    </w:p>
    <w:p w14:paraId="1511E3AF" w14:textId="77777777" w:rsidR="003713A2" w:rsidRPr="00276A22" w:rsidRDefault="003713A2" w:rsidP="003713A2">
      <w:pPr>
        <w:rPr>
          <w:u w:val="single"/>
        </w:rPr>
      </w:pPr>
      <w:r w:rsidRPr="00276A22">
        <w:rPr>
          <w:b/>
          <w:bCs/>
          <w:u w:val="single"/>
        </w:rPr>
        <w:t>Option 3:</w:t>
      </w:r>
      <w:r w:rsidRPr="00276A22">
        <w:rPr>
          <w:u w:val="single"/>
        </w:rPr>
        <w:t xml:space="preserve"> Implementation specific to NG-RAN</w:t>
      </w:r>
    </w:p>
    <w:p w14:paraId="6A58616D" w14:textId="77777777" w:rsidR="003713A2" w:rsidRDefault="003713A2" w:rsidP="003713A2">
      <w:pPr>
        <w:pStyle w:val="ListParagraph"/>
        <w:numPr>
          <w:ilvl w:val="0"/>
          <w:numId w:val="34"/>
        </w:numPr>
      </w:pPr>
      <w:r>
        <w:t xml:space="preserve">NG-RAN receives the RVQOE metrics defined in section 2.1 </w:t>
      </w:r>
    </w:p>
    <w:p w14:paraId="5B9E7CEB" w14:textId="77777777" w:rsidR="003713A2" w:rsidRDefault="003713A2" w:rsidP="003713A2">
      <w:pPr>
        <w:pStyle w:val="ListParagraph"/>
        <w:numPr>
          <w:ilvl w:val="0"/>
          <w:numId w:val="34"/>
        </w:numPr>
      </w:pPr>
      <w:r>
        <w:t>NG-RAN can compute the RVQOE values by own implementation (e.g., via thresholds internal to NG-RAN)</w:t>
      </w:r>
    </w:p>
    <w:p w14:paraId="6A2B39E8" w14:textId="3BDB2660" w:rsidR="003713A2" w:rsidRDefault="003713A2" w:rsidP="003713A2">
      <w:r>
        <w:t xml:space="preserve">Option 3 seem to be the simplest and won’t need any SA4 spec impact. Whether option 1 or option 2 can be supported </w:t>
      </w:r>
      <w:r w:rsidR="00377EEA">
        <w:t>needs</w:t>
      </w:r>
      <w:r>
        <w:t xml:space="preserve"> to be checked with SA4.</w:t>
      </w:r>
    </w:p>
    <w:p w14:paraId="2F826AE1" w14:textId="0377362A" w:rsidR="004B7B8C" w:rsidRDefault="003713A2" w:rsidP="003713A2">
      <w:r>
        <w:rPr>
          <w:b/>
          <w:bCs/>
        </w:rPr>
        <w:t>Proposal</w:t>
      </w:r>
      <w:r w:rsidR="00377EEA">
        <w:rPr>
          <w:b/>
          <w:bCs/>
        </w:rPr>
        <w:t xml:space="preserve"> 1</w:t>
      </w:r>
      <w:r w:rsidR="00321F02">
        <w:rPr>
          <w:b/>
          <w:bCs/>
        </w:rPr>
        <w:t>6</w:t>
      </w:r>
      <w:r>
        <w:t>:</w:t>
      </w:r>
      <w:r w:rsidR="004B7B8C">
        <w:t xml:space="preserve"> RAN3 to down</w:t>
      </w:r>
      <w:r w:rsidR="00726F2A">
        <w:t xml:space="preserve"> </w:t>
      </w:r>
      <w:r w:rsidR="004B7B8C">
        <w:t>select from the 3 options before deciding whether and how to support RVQoE values:</w:t>
      </w:r>
    </w:p>
    <w:p w14:paraId="274D8D16" w14:textId="77777777" w:rsidR="004B7B8C" w:rsidRDefault="004B7B8C" w:rsidP="004B7B8C">
      <w:pPr>
        <w:pStyle w:val="ListParagraph"/>
        <w:numPr>
          <w:ilvl w:val="0"/>
          <w:numId w:val="44"/>
        </w:numPr>
      </w:pPr>
      <w:r>
        <w:t>Option 1: Pre-defined formula in SA4 specs</w:t>
      </w:r>
    </w:p>
    <w:p w14:paraId="652A5337" w14:textId="77777777" w:rsidR="004B7B8C" w:rsidRDefault="004B7B8C" w:rsidP="004B7B8C">
      <w:pPr>
        <w:pStyle w:val="ListParagraph"/>
        <w:numPr>
          <w:ilvl w:val="0"/>
          <w:numId w:val="44"/>
        </w:numPr>
      </w:pPr>
      <w:r>
        <w:lastRenderedPageBreak/>
        <w:t>Option 2: Configurable by NG-RAN</w:t>
      </w:r>
    </w:p>
    <w:p w14:paraId="0A222471" w14:textId="0C93837B" w:rsidR="00B572BB" w:rsidRPr="00B572BB" w:rsidRDefault="004B7B8C" w:rsidP="00B572BB">
      <w:pPr>
        <w:pStyle w:val="ListParagraph"/>
        <w:numPr>
          <w:ilvl w:val="0"/>
          <w:numId w:val="44"/>
        </w:numPr>
      </w:pPr>
      <w:r>
        <w:t>Option 3: Implementation specific to NG-RAN</w:t>
      </w:r>
    </w:p>
    <w:p w14:paraId="2A61CE22" w14:textId="07740CF7" w:rsidR="00B572BB" w:rsidRDefault="00B572BB" w:rsidP="00B572BB">
      <w:pPr>
        <w:pStyle w:val="Heading2"/>
        <w:numPr>
          <w:ilvl w:val="1"/>
          <w:numId w:val="2"/>
        </w:numPr>
        <w:tabs>
          <w:tab w:val="left" w:pos="720"/>
        </w:tabs>
        <w:rPr>
          <w:rFonts w:ascii="Times New Roman" w:hAnsi="Times New Roman"/>
        </w:rPr>
      </w:pPr>
      <w:r>
        <w:rPr>
          <w:rFonts w:ascii="Times New Roman" w:hAnsi="Times New Roman"/>
        </w:rPr>
        <w:t>Other topics</w:t>
      </w:r>
    </w:p>
    <w:p w14:paraId="052DC858" w14:textId="459FC7F9" w:rsidR="00B572BB" w:rsidRPr="00A06C79" w:rsidRDefault="00B572BB" w:rsidP="00B572BB">
      <w:pPr>
        <w:rPr>
          <w:lang w:eastAsia="x-none"/>
        </w:rPr>
      </w:pPr>
      <w:r w:rsidRPr="00A06C79">
        <w:rPr>
          <w:b/>
          <w:bCs/>
          <w:lang w:eastAsia="x-none"/>
        </w:rPr>
        <w:t>Proposal</w:t>
      </w:r>
      <w:r w:rsidR="00377EEA">
        <w:rPr>
          <w:b/>
          <w:bCs/>
          <w:lang w:eastAsia="x-none"/>
        </w:rPr>
        <w:t xml:space="preserve"> 1</w:t>
      </w:r>
      <w:r w:rsidR="00321F02">
        <w:rPr>
          <w:b/>
          <w:bCs/>
          <w:lang w:eastAsia="x-none"/>
        </w:rPr>
        <w:t>7</w:t>
      </w:r>
      <w:r w:rsidRPr="00A06C79">
        <w:rPr>
          <w:lang w:eastAsia="x-none"/>
        </w:rPr>
        <w:t>: Per-slice RVQOE and alignment of RVQOE with radio-related measurements can be discussed post progress on the corresponding topics for the legacy QoE.</w:t>
      </w:r>
    </w:p>
    <w:p w14:paraId="76ADF0CD" w14:textId="54D1EC94" w:rsidR="00D81C03" w:rsidRDefault="00D81C03" w:rsidP="00D81C03">
      <w:pPr>
        <w:pStyle w:val="Heading1"/>
        <w:numPr>
          <w:ilvl w:val="0"/>
          <w:numId w:val="2"/>
        </w:numPr>
        <w:rPr>
          <w:rFonts w:ascii="Times New Roman" w:hAnsi="Times New Roman"/>
        </w:rPr>
      </w:pPr>
      <w:r w:rsidRPr="001062CC">
        <w:rPr>
          <w:rFonts w:ascii="Times New Roman" w:hAnsi="Times New Roman"/>
        </w:rPr>
        <w:t>Conclusion</w:t>
      </w:r>
    </w:p>
    <w:p w14:paraId="3E172556" w14:textId="1FA727D4" w:rsidR="00045A6F" w:rsidRDefault="00045A6F" w:rsidP="00045A6F">
      <w:pPr>
        <w:contextualSpacing/>
        <w:rPr>
          <w:rFonts w:eastAsiaTheme="minorEastAsia"/>
          <w:lang w:val="en-US" w:eastAsia="zh-CN"/>
        </w:rPr>
      </w:pPr>
      <w:r w:rsidRPr="00AC3FA0">
        <w:rPr>
          <w:rFonts w:eastAsiaTheme="minorEastAsia"/>
          <w:b/>
          <w:bCs/>
          <w:lang w:val="en-US" w:eastAsia="zh-CN"/>
        </w:rPr>
        <w:t>Proposal</w:t>
      </w:r>
      <w:r>
        <w:rPr>
          <w:rFonts w:eastAsiaTheme="minorEastAsia"/>
          <w:b/>
          <w:bCs/>
          <w:lang w:val="en-US" w:eastAsia="zh-CN"/>
        </w:rPr>
        <w:t xml:space="preserve"> 1</w:t>
      </w:r>
      <w:r w:rsidRPr="00AC3FA0">
        <w:rPr>
          <w:rFonts w:eastAsiaTheme="minorEastAsia"/>
          <w:lang w:val="en-US" w:eastAsia="zh-CN"/>
        </w:rPr>
        <w:t>: Buffer level and Playout Delay can be considered as RVQOE metrics for DASH and VR services.</w:t>
      </w:r>
    </w:p>
    <w:p w14:paraId="6AAFBA44" w14:textId="77777777" w:rsidR="00045A6F" w:rsidRPr="00AC3FA0" w:rsidRDefault="00045A6F" w:rsidP="00045A6F">
      <w:pPr>
        <w:contextualSpacing/>
        <w:rPr>
          <w:rFonts w:eastAsiaTheme="minorEastAsia"/>
          <w:lang w:val="en-US" w:eastAsia="zh-CN"/>
        </w:rPr>
      </w:pPr>
    </w:p>
    <w:p w14:paraId="19001C8D" w14:textId="7289C321" w:rsidR="00045A6F" w:rsidRDefault="00045A6F" w:rsidP="00045A6F">
      <w:pPr>
        <w:contextualSpacing/>
        <w:rPr>
          <w:rFonts w:eastAsiaTheme="minorEastAsia"/>
          <w:lang w:val="en-US" w:eastAsia="zh-CN"/>
        </w:rPr>
      </w:pPr>
      <w:r w:rsidRPr="006241E5">
        <w:rPr>
          <w:rFonts w:eastAsiaTheme="minorEastAsia"/>
          <w:b/>
          <w:bCs/>
          <w:lang w:val="en-US" w:eastAsia="zh-CN"/>
        </w:rPr>
        <w:t>Observation</w:t>
      </w:r>
      <w:r>
        <w:rPr>
          <w:rFonts w:eastAsiaTheme="minorEastAsia"/>
          <w:b/>
          <w:bCs/>
          <w:lang w:val="en-US" w:eastAsia="zh-CN"/>
        </w:rPr>
        <w:t xml:space="preserve"> 1</w:t>
      </w:r>
      <w:r w:rsidRPr="006241E5">
        <w:rPr>
          <w:rFonts w:eastAsiaTheme="minorEastAsia"/>
          <w:lang w:val="en-US" w:eastAsia="zh-CN"/>
        </w:rPr>
        <w:t>: Defining a buffer level alarm indication instead of reporting an absolute buffer level seems to be under the scope of RVQoE value</w:t>
      </w:r>
      <w:r>
        <w:rPr>
          <w:rFonts w:eastAsiaTheme="minorEastAsia"/>
          <w:lang w:val="en-US" w:eastAsia="zh-CN"/>
        </w:rPr>
        <w:t>s</w:t>
      </w:r>
      <w:r w:rsidRPr="006241E5">
        <w:rPr>
          <w:rFonts w:eastAsiaTheme="minorEastAsia"/>
          <w:lang w:val="en-US" w:eastAsia="zh-CN"/>
        </w:rPr>
        <w:t xml:space="preserve"> where UE can represent qualitative representation of RVQoE metrics.</w:t>
      </w:r>
    </w:p>
    <w:p w14:paraId="2A0FAF91" w14:textId="77777777" w:rsidR="00045A6F" w:rsidRPr="006241E5" w:rsidRDefault="00045A6F" w:rsidP="00045A6F">
      <w:pPr>
        <w:contextualSpacing/>
        <w:rPr>
          <w:rFonts w:eastAsiaTheme="minorEastAsia"/>
          <w:lang w:val="en-US" w:eastAsia="zh-CN"/>
        </w:rPr>
      </w:pPr>
    </w:p>
    <w:p w14:paraId="34540B90" w14:textId="36CF1AC7" w:rsidR="00045A6F" w:rsidRDefault="00045A6F" w:rsidP="00045A6F">
      <w:pPr>
        <w:contextualSpacing/>
        <w:rPr>
          <w:rFonts w:eastAsiaTheme="minorEastAsia"/>
          <w:lang w:val="en-US" w:eastAsia="zh-CN"/>
        </w:rPr>
      </w:pPr>
      <w:r w:rsidRPr="006241E5">
        <w:rPr>
          <w:rFonts w:eastAsiaTheme="minorEastAsia"/>
          <w:b/>
          <w:bCs/>
          <w:lang w:val="en-US" w:eastAsia="zh-CN"/>
        </w:rPr>
        <w:t>Proposal</w:t>
      </w:r>
      <w:r>
        <w:rPr>
          <w:rFonts w:eastAsiaTheme="minorEastAsia"/>
          <w:b/>
          <w:bCs/>
          <w:lang w:val="en-US" w:eastAsia="zh-CN"/>
        </w:rPr>
        <w:t xml:space="preserve"> 2</w:t>
      </w:r>
      <w:r w:rsidRPr="006241E5">
        <w:rPr>
          <w:rFonts w:eastAsiaTheme="minorEastAsia"/>
          <w:lang w:val="en-US" w:eastAsia="zh-CN"/>
        </w:rPr>
        <w:t>: The discussion on whether to define a buffer level alarm should happen under RVQoE values as this is a qualitative representation of a RVQoE metric and not an absolute value.</w:t>
      </w:r>
    </w:p>
    <w:p w14:paraId="42431A9C" w14:textId="77777777" w:rsidR="00045A6F" w:rsidRPr="006241E5" w:rsidRDefault="00045A6F" w:rsidP="00045A6F">
      <w:pPr>
        <w:contextualSpacing/>
        <w:rPr>
          <w:rFonts w:eastAsiaTheme="minorEastAsia"/>
          <w:lang w:val="en-US" w:eastAsia="zh-CN"/>
        </w:rPr>
      </w:pPr>
    </w:p>
    <w:p w14:paraId="174C71F3" w14:textId="2360B61B" w:rsidR="00045A6F" w:rsidRDefault="00045A6F" w:rsidP="00045A6F">
      <w:pPr>
        <w:contextualSpacing/>
      </w:pPr>
      <w:r w:rsidRPr="002567B9">
        <w:rPr>
          <w:b/>
          <w:bCs/>
        </w:rPr>
        <w:t>Observation</w:t>
      </w:r>
      <w:r>
        <w:rPr>
          <w:b/>
          <w:bCs/>
        </w:rPr>
        <w:t xml:space="preserve"> 2:</w:t>
      </w:r>
      <w:r>
        <w:t xml:space="preserve"> Reporting the QoE metrics “VR Interaction Latency” and “Play List” by UE seems cumbersome as it includes a lot of information elements. </w:t>
      </w:r>
    </w:p>
    <w:p w14:paraId="5036DEB5" w14:textId="77777777" w:rsidR="00045A6F" w:rsidRDefault="00045A6F" w:rsidP="00045A6F">
      <w:pPr>
        <w:contextualSpacing/>
        <w:rPr>
          <w:rFonts w:eastAsiaTheme="minorEastAsia"/>
          <w:lang w:val="en-US" w:eastAsia="zh-CN"/>
        </w:rPr>
      </w:pPr>
    </w:p>
    <w:p w14:paraId="6ABC3A90" w14:textId="640AA8BB" w:rsidR="00045A6F" w:rsidRDefault="00045A6F" w:rsidP="00045A6F">
      <w:pPr>
        <w:contextualSpacing/>
      </w:pPr>
      <w:r w:rsidRPr="00EA5951">
        <w:rPr>
          <w:b/>
          <w:bCs/>
        </w:rPr>
        <w:t>Proposal</w:t>
      </w:r>
      <w:r>
        <w:rPr>
          <w:b/>
          <w:bCs/>
        </w:rPr>
        <w:t xml:space="preserve"> 3</w:t>
      </w:r>
      <w:r w:rsidRPr="00EA5951">
        <w:rPr>
          <w:b/>
          <w:bCs/>
        </w:rPr>
        <w:t>:</w:t>
      </w:r>
      <w:r>
        <w:t xml:space="preserve"> </w:t>
      </w:r>
      <w:r w:rsidRPr="001551AD">
        <w:t xml:space="preserve">VR Interaction Latency </w:t>
      </w:r>
      <w:r>
        <w:t>and Play List seems a lot of signalling overhead in RRC and should not be considered as RVQOE metrics for Rel-17</w:t>
      </w:r>
    </w:p>
    <w:p w14:paraId="07F80C1E" w14:textId="77777777" w:rsidR="00045A6F" w:rsidRDefault="00045A6F" w:rsidP="00045A6F">
      <w:pPr>
        <w:contextualSpacing/>
        <w:rPr>
          <w:rFonts w:eastAsiaTheme="minorEastAsia"/>
          <w:lang w:val="en-US" w:eastAsia="zh-CN"/>
        </w:rPr>
      </w:pPr>
    </w:p>
    <w:p w14:paraId="521F847F" w14:textId="77777777" w:rsidR="00045A6F" w:rsidRDefault="00045A6F" w:rsidP="00045A6F">
      <w:pPr>
        <w:rPr>
          <w:lang w:eastAsia="x-none"/>
        </w:rPr>
      </w:pPr>
      <w:r w:rsidRPr="00563FBD">
        <w:rPr>
          <w:b/>
          <w:bCs/>
          <w:lang w:eastAsia="x-none"/>
        </w:rPr>
        <w:t>Observation</w:t>
      </w:r>
      <w:r>
        <w:rPr>
          <w:b/>
          <w:bCs/>
          <w:lang w:eastAsia="x-none"/>
        </w:rPr>
        <w:t xml:space="preserve"> 3</w:t>
      </w:r>
      <w:r>
        <w:rPr>
          <w:lang w:eastAsia="x-none"/>
        </w:rPr>
        <w:t xml:space="preserve">: </w:t>
      </w:r>
      <w:r w:rsidRPr="00B125FD">
        <w:rPr>
          <w:lang w:eastAsia="x-none"/>
        </w:rPr>
        <w:t>If RVQoE and legacy QoE are to</w:t>
      </w:r>
      <w:r>
        <w:rPr>
          <w:lang w:eastAsia="x-none"/>
        </w:rPr>
        <w:t xml:space="preserve"> be</w:t>
      </w:r>
      <w:r w:rsidRPr="00B125FD">
        <w:rPr>
          <w:lang w:eastAsia="x-none"/>
        </w:rPr>
        <w:t xml:space="preserve"> report</w:t>
      </w:r>
      <w:r>
        <w:rPr>
          <w:lang w:eastAsia="x-none"/>
        </w:rPr>
        <w:t>ed</w:t>
      </w:r>
      <w:r w:rsidRPr="00B125FD">
        <w:rPr>
          <w:lang w:eastAsia="x-none"/>
        </w:rPr>
        <w:t xml:space="preserve"> separately, it </w:t>
      </w:r>
      <w:r>
        <w:rPr>
          <w:lang w:eastAsia="x-none"/>
        </w:rPr>
        <w:t xml:space="preserve">might </w:t>
      </w:r>
      <w:r w:rsidRPr="00B125FD">
        <w:rPr>
          <w:lang w:eastAsia="x-none"/>
        </w:rPr>
        <w:t>increase the</w:t>
      </w:r>
      <w:r>
        <w:rPr>
          <w:lang w:eastAsia="x-none"/>
        </w:rPr>
        <w:t xml:space="preserve"> processing</w:t>
      </w:r>
      <w:r w:rsidRPr="00B125FD">
        <w:rPr>
          <w:lang w:eastAsia="x-none"/>
        </w:rPr>
        <w:t xml:space="preserve"> complexity</w:t>
      </w:r>
      <w:r>
        <w:rPr>
          <w:lang w:eastAsia="x-none"/>
        </w:rPr>
        <w:t xml:space="preserve"> and storage requirements</w:t>
      </w:r>
      <w:r w:rsidRPr="00B125FD">
        <w:rPr>
          <w:lang w:eastAsia="x-none"/>
        </w:rPr>
        <w:t xml:space="preserve"> </w:t>
      </w:r>
      <w:r>
        <w:rPr>
          <w:lang w:eastAsia="x-none"/>
        </w:rPr>
        <w:t>at</w:t>
      </w:r>
      <w:r w:rsidRPr="00B125FD">
        <w:rPr>
          <w:lang w:eastAsia="x-none"/>
        </w:rPr>
        <w:t xml:space="preserve"> UE </w:t>
      </w:r>
      <w:r>
        <w:rPr>
          <w:lang w:eastAsia="x-none"/>
        </w:rPr>
        <w:t>Application to handle RVQoE and legacy QoE independently</w:t>
      </w:r>
    </w:p>
    <w:p w14:paraId="1E2AE257" w14:textId="77777777" w:rsidR="00045A6F" w:rsidRDefault="00045A6F" w:rsidP="00045A6F">
      <w:pPr>
        <w:rPr>
          <w:rFonts w:eastAsiaTheme="minorEastAsia"/>
          <w:b/>
          <w:bCs/>
          <w:color w:val="000000" w:themeColor="text1"/>
          <w:lang w:val="en-US" w:eastAsia="zh-CN"/>
        </w:rPr>
      </w:pPr>
      <w:r>
        <w:rPr>
          <w:rFonts w:eastAsiaTheme="minorEastAsia"/>
          <w:b/>
          <w:bCs/>
          <w:color w:val="000000" w:themeColor="text1"/>
          <w:lang w:val="en-US" w:eastAsia="zh-CN"/>
        </w:rPr>
        <w:t xml:space="preserve">Proposal 4: </w:t>
      </w:r>
      <w:r>
        <w:t>RVQOE has the same priority as legacy QoE. The main purpose of RVQOE is to expose QoE metrics to RAN and not for enabling QoE aware real-time use cases</w:t>
      </w:r>
    </w:p>
    <w:p w14:paraId="6E39F427" w14:textId="51F589E1" w:rsidR="00045A6F" w:rsidRDefault="00045A6F" w:rsidP="00045A6F">
      <w:pPr>
        <w:spacing w:after="0"/>
        <w:rPr>
          <w:rFonts w:eastAsia="Times New Roman"/>
          <w:lang w:val="en-US"/>
        </w:rPr>
      </w:pPr>
      <w:r>
        <w:rPr>
          <w:rFonts w:eastAsia="Times New Roman"/>
          <w:b/>
          <w:bCs/>
          <w:lang w:val="en-US"/>
        </w:rPr>
        <w:t xml:space="preserve">Proposal 5: </w:t>
      </w:r>
      <w:r w:rsidRPr="00702C23">
        <w:rPr>
          <w:rFonts w:eastAsia="Times New Roman"/>
          <w:lang w:val="en-US"/>
        </w:rPr>
        <w:t>RVQoE and legacy QoE can be configured independently i.e., RVQoE can be configured at a later time after configuring legacy QoE by using the same measConfigAppLayerID</w:t>
      </w:r>
    </w:p>
    <w:p w14:paraId="53B7524E" w14:textId="77777777" w:rsidR="00045A6F" w:rsidRDefault="00045A6F" w:rsidP="00045A6F">
      <w:pPr>
        <w:spacing w:after="0"/>
        <w:rPr>
          <w:rFonts w:eastAsia="Times New Roman"/>
          <w:lang w:val="en-US"/>
        </w:rPr>
      </w:pPr>
    </w:p>
    <w:p w14:paraId="4058601F" w14:textId="3ADD64CF" w:rsidR="00045A6F" w:rsidRDefault="00045A6F" w:rsidP="00045A6F">
      <w:pPr>
        <w:overflowPunct w:val="0"/>
        <w:autoSpaceDE w:val="0"/>
        <w:autoSpaceDN w:val="0"/>
        <w:adjustRightInd w:val="0"/>
        <w:spacing w:beforeLines="50" w:before="120" w:after="0"/>
        <w:contextualSpacing/>
        <w:textAlignment w:val="baseline"/>
      </w:pPr>
      <w:r w:rsidRPr="00BB291C">
        <w:rPr>
          <w:b/>
          <w:bCs/>
        </w:rPr>
        <w:t xml:space="preserve">Proposal </w:t>
      </w:r>
      <w:r>
        <w:rPr>
          <w:b/>
          <w:bCs/>
        </w:rPr>
        <w:t>6</w:t>
      </w:r>
      <w:r w:rsidRPr="00BB291C">
        <w:rPr>
          <w:b/>
          <w:bCs/>
        </w:rPr>
        <w:t>:</w:t>
      </w:r>
      <w:r>
        <w:t xml:space="preserve"> </w:t>
      </w:r>
      <w:r w:rsidRPr="00815279">
        <w:t xml:space="preserve">NG-RAN can release a list of RVQOE configurations while not releasing corresponding legacy QoE configurations </w:t>
      </w:r>
    </w:p>
    <w:p w14:paraId="5A71374F" w14:textId="77777777" w:rsidR="00045A6F" w:rsidRPr="00BF571A" w:rsidRDefault="00045A6F" w:rsidP="00045A6F">
      <w:pPr>
        <w:overflowPunct w:val="0"/>
        <w:autoSpaceDE w:val="0"/>
        <w:autoSpaceDN w:val="0"/>
        <w:adjustRightInd w:val="0"/>
        <w:spacing w:beforeLines="50" w:before="120" w:after="0"/>
        <w:contextualSpacing/>
        <w:textAlignment w:val="baseline"/>
      </w:pPr>
    </w:p>
    <w:p w14:paraId="196C6B18" w14:textId="4463B0EF" w:rsidR="00045A6F" w:rsidRDefault="00045A6F" w:rsidP="00045A6F">
      <w:pPr>
        <w:overflowPunct w:val="0"/>
        <w:autoSpaceDE w:val="0"/>
        <w:autoSpaceDN w:val="0"/>
        <w:adjustRightInd w:val="0"/>
        <w:spacing w:beforeLines="50" w:before="120" w:after="0"/>
        <w:contextualSpacing/>
        <w:textAlignment w:val="baseline"/>
      </w:pPr>
      <w:r w:rsidRPr="00BB481B">
        <w:rPr>
          <w:rFonts w:eastAsia="Times New Roman"/>
          <w:b/>
          <w:bCs/>
          <w:lang w:val="en-US"/>
        </w:rPr>
        <w:t>Proposal</w:t>
      </w:r>
      <w:r>
        <w:rPr>
          <w:rFonts w:eastAsia="Times New Roman"/>
          <w:b/>
          <w:bCs/>
          <w:lang w:val="en-US"/>
        </w:rPr>
        <w:t xml:space="preserve"> 7</w:t>
      </w:r>
      <w:r w:rsidRPr="00BB481B">
        <w:rPr>
          <w:rFonts w:eastAsia="Times New Roman"/>
          <w:lang w:val="en-US"/>
        </w:rPr>
        <w:t xml:space="preserve">: </w:t>
      </w:r>
      <w:r w:rsidRPr="00BF571A">
        <w:t>If the legacy QoE configuration is released/paused/resumed, the corresponding RVQOE configuration is released/paused/resumed as well</w:t>
      </w:r>
    </w:p>
    <w:p w14:paraId="3F87957E" w14:textId="77777777" w:rsidR="00045A6F" w:rsidRDefault="00045A6F" w:rsidP="00045A6F">
      <w:pPr>
        <w:overflowPunct w:val="0"/>
        <w:autoSpaceDE w:val="0"/>
        <w:autoSpaceDN w:val="0"/>
        <w:adjustRightInd w:val="0"/>
        <w:spacing w:beforeLines="50" w:before="120" w:after="0"/>
        <w:contextualSpacing/>
        <w:textAlignment w:val="baseline"/>
        <w:rPr>
          <w:color w:val="00B050"/>
        </w:rPr>
      </w:pPr>
    </w:p>
    <w:p w14:paraId="6F55256C" w14:textId="4F7EE65A" w:rsidR="00045A6F" w:rsidRDefault="00045A6F" w:rsidP="00045A6F">
      <w:pPr>
        <w:overflowPunct w:val="0"/>
        <w:autoSpaceDE w:val="0"/>
        <w:autoSpaceDN w:val="0"/>
        <w:adjustRightInd w:val="0"/>
        <w:spacing w:beforeLines="50" w:before="120" w:after="0"/>
        <w:contextualSpacing/>
        <w:textAlignment w:val="baseline"/>
      </w:pPr>
      <w:r w:rsidRPr="00BB291C">
        <w:rPr>
          <w:b/>
          <w:bCs/>
        </w:rPr>
        <w:t xml:space="preserve">Proposal </w:t>
      </w:r>
      <w:r>
        <w:rPr>
          <w:b/>
          <w:bCs/>
        </w:rPr>
        <w:t>8</w:t>
      </w:r>
      <w:r w:rsidRPr="00BB291C">
        <w:rPr>
          <w:b/>
          <w:bCs/>
        </w:rPr>
        <w:t>:</w:t>
      </w:r>
      <w:r>
        <w:t xml:space="preserve"> A common indicator is used to pause/resume both legacy QoE and RVQoE configurations i.e., there is no support to </w:t>
      </w:r>
      <w:r w:rsidRPr="00815279">
        <w:t>pause/resume a list of RVQOE configurations while not pausing/resuming corresponding legacy QoE configurations</w:t>
      </w:r>
    </w:p>
    <w:p w14:paraId="5257F3E5" w14:textId="77777777" w:rsidR="00045A6F" w:rsidRPr="00BF571A" w:rsidRDefault="00045A6F" w:rsidP="00045A6F">
      <w:pPr>
        <w:overflowPunct w:val="0"/>
        <w:autoSpaceDE w:val="0"/>
        <w:autoSpaceDN w:val="0"/>
        <w:adjustRightInd w:val="0"/>
        <w:spacing w:beforeLines="50" w:before="120" w:after="0"/>
        <w:contextualSpacing/>
        <w:textAlignment w:val="baseline"/>
      </w:pPr>
    </w:p>
    <w:p w14:paraId="308998CC" w14:textId="133472EF" w:rsidR="00045A6F" w:rsidRDefault="00045A6F" w:rsidP="00045A6F">
      <w:pPr>
        <w:spacing w:after="0"/>
        <w:rPr>
          <w:rFonts w:eastAsia="Times New Roman"/>
          <w:lang w:val="en-US"/>
        </w:rPr>
      </w:pPr>
      <w:r w:rsidRPr="00BB481B">
        <w:rPr>
          <w:rFonts w:eastAsia="Times New Roman"/>
          <w:b/>
          <w:bCs/>
          <w:lang w:val="en-US"/>
        </w:rPr>
        <w:t>Proposa</w:t>
      </w:r>
      <w:r>
        <w:rPr>
          <w:rFonts w:eastAsia="Times New Roman"/>
          <w:b/>
          <w:bCs/>
          <w:lang w:val="en-US"/>
        </w:rPr>
        <w:t>l 9</w:t>
      </w:r>
      <w:r w:rsidRPr="00BB481B">
        <w:rPr>
          <w:rFonts w:eastAsia="Times New Roman"/>
          <w:b/>
          <w:bCs/>
          <w:lang w:val="en-US"/>
        </w:rPr>
        <w:t>:</w:t>
      </w:r>
      <w:r w:rsidRPr="00BB481B">
        <w:rPr>
          <w:rFonts w:eastAsia="Times New Roman"/>
          <w:lang w:val="en-US"/>
        </w:rPr>
        <w:t xml:space="preserve"> RVQoE configuration </w:t>
      </w:r>
      <w:r>
        <w:rPr>
          <w:rFonts w:eastAsia="Times New Roman"/>
          <w:lang w:val="en-US"/>
        </w:rPr>
        <w:t xml:space="preserve">should </w:t>
      </w:r>
      <w:r w:rsidRPr="00BB481B">
        <w:rPr>
          <w:rFonts w:eastAsia="Times New Roman"/>
          <w:lang w:val="en-US"/>
        </w:rPr>
        <w:t xml:space="preserve">simply include the RVQoE metrics to be reported. </w:t>
      </w:r>
      <w:r>
        <w:rPr>
          <w:rFonts w:eastAsia="Times New Roman"/>
          <w:lang w:val="en-US"/>
        </w:rPr>
        <w:t>There is n</w:t>
      </w:r>
      <w:r w:rsidRPr="00BB481B">
        <w:rPr>
          <w:rFonts w:eastAsia="Times New Roman"/>
          <w:lang w:val="en-US"/>
        </w:rPr>
        <w:t>o need to define a separate periodicity or event trigger for RVQoE or other metrics such as Sample percentage, Start Time, Duration</w:t>
      </w:r>
    </w:p>
    <w:p w14:paraId="5E29ED06" w14:textId="77777777" w:rsidR="00045A6F" w:rsidRPr="00BB481B" w:rsidRDefault="00045A6F" w:rsidP="00045A6F">
      <w:pPr>
        <w:spacing w:after="0"/>
        <w:rPr>
          <w:rFonts w:eastAsia="Times New Roman"/>
          <w:lang w:val="en-US"/>
        </w:rPr>
      </w:pPr>
    </w:p>
    <w:p w14:paraId="29B787A1" w14:textId="0976F3D9" w:rsidR="00045A6F" w:rsidRDefault="00045A6F" w:rsidP="00045A6F">
      <w:pPr>
        <w:spacing w:after="0"/>
        <w:rPr>
          <w:rFonts w:eastAsia="Times New Roman"/>
          <w:lang w:val="en-US"/>
        </w:rPr>
      </w:pPr>
      <w:r w:rsidRPr="00881B1D">
        <w:rPr>
          <w:rFonts w:eastAsia="Times New Roman"/>
          <w:b/>
          <w:bCs/>
          <w:lang w:val="en-US"/>
        </w:rPr>
        <w:t xml:space="preserve">Proposal </w:t>
      </w:r>
      <w:r>
        <w:rPr>
          <w:rFonts w:eastAsia="Times New Roman"/>
          <w:b/>
          <w:bCs/>
          <w:lang w:val="en-US"/>
        </w:rPr>
        <w:t>10</w:t>
      </w:r>
      <w:r w:rsidRPr="00881B1D">
        <w:rPr>
          <w:rFonts w:eastAsia="Times New Roman"/>
          <w:lang w:val="en-US"/>
        </w:rPr>
        <w:t>: RVQOE and legacy QoE should be reported together</w:t>
      </w:r>
    </w:p>
    <w:p w14:paraId="33757831" w14:textId="77777777" w:rsidR="00045A6F" w:rsidRPr="00881B1D" w:rsidRDefault="00045A6F" w:rsidP="00045A6F">
      <w:pPr>
        <w:spacing w:after="0"/>
        <w:rPr>
          <w:rFonts w:eastAsia="Times New Roman"/>
          <w:lang w:val="en-US"/>
        </w:rPr>
      </w:pPr>
    </w:p>
    <w:p w14:paraId="00DAE3D7" w14:textId="77777777" w:rsidR="00045A6F" w:rsidRDefault="00045A6F" w:rsidP="00045A6F">
      <w:pPr>
        <w:rPr>
          <w:rFonts w:eastAsia="Times New Roman"/>
          <w:b/>
          <w:bCs/>
          <w:lang w:val="en-US"/>
        </w:rPr>
      </w:pPr>
      <w:r w:rsidRPr="00563FBD">
        <w:rPr>
          <w:b/>
          <w:bCs/>
          <w:lang w:eastAsia="x-none"/>
        </w:rPr>
        <w:t>Observation</w:t>
      </w:r>
      <w:r>
        <w:rPr>
          <w:b/>
          <w:bCs/>
          <w:lang w:eastAsia="x-none"/>
        </w:rPr>
        <w:t xml:space="preserve"> 4</w:t>
      </w:r>
      <w:r>
        <w:rPr>
          <w:lang w:eastAsia="x-none"/>
        </w:rPr>
        <w:t>:</w:t>
      </w:r>
      <w:r w:rsidRPr="003B02CD">
        <w:t xml:space="preserve"> </w:t>
      </w:r>
      <w:r w:rsidRPr="003B02CD">
        <w:rPr>
          <w:lang w:eastAsia="x-none"/>
        </w:rPr>
        <w:t>QoE support for MR-DC is not supported in Rel-17 i.e., QoE is always configured and reported over MN</w:t>
      </w:r>
      <w:r>
        <w:rPr>
          <w:lang w:eastAsia="x-none"/>
        </w:rPr>
        <w:t xml:space="preserve"> in Rel-17</w:t>
      </w:r>
    </w:p>
    <w:p w14:paraId="686352FE" w14:textId="77777777" w:rsidR="00045A6F" w:rsidRDefault="00045A6F" w:rsidP="00045A6F">
      <w:pPr>
        <w:spacing w:after="0"/>
        <w:rPr>
          <w:rFonts w:eastAsia="Times New Roman"/>
          <w:lang w:val="en-US"/>
        </w:rPr>
      </w:pPr>
      <w:r w:rsidRPr="00BB481B">
        <w:rPr>
          <w:rFonts w:eastAsia="Times New Roman"/>
          <w:b/>
          <w:bCs/>
          <w:lang w:val="en-US"/>
        </w:rPr>
        <w:t>Proposal</w:t>
      </w:r>
      <w:r>
        <w:rPr>
          <w:rFonts w:eastAsia="Times New Roman"/>
          <w:b/>
          <w:bCs/>
          <w:lang w:val="en-US"/>
        </w:rPr>
        <w:t xml:space="preserve"> 11:</w:t>
      </w:r>
      <w:r w:rsidRPr="00BB481B">
        <w:rPr>
          <w:rFonts w:eastAsia="Times New Roman"/>
          <w:lang w:val="en-US"/>
        </w:rPr>
        <w:t xml:space="preserve"> </w:t>
      </w:r>
      <w:r>
        <w:rPr>
          <w:rFonts w:eastAsia="Times New Roman"/>
          <w:lang w:val="en-US"/>
        </w:rPr>
        <w:t>There is n</w:t>
      </w:r>
      <w:r w:rsidRPr="00BB481B">
        <w:rPr>
          <w:rFonts w:eastAsia="Times New Roman"/>
          <w:lang w:val="en-US"/>
        </w:rPr>
        <w:t xml:space="preserve">o need to include PDU session information </w:t>
      </w:r>
      <w:r w:rsidRPr="0043140C">
        <w:rPr>
          <w:rFonts w:eastAsia="Times New Roman"/>
          <w:lang w:val="en-US"/>
        </w:rPr>
        <w:t xml:space="preserve">(e.g., DRB ID, PDU session ID, QoS Flow ID) </w:t>
      </w:r>
      <w:r w:rsidRPr="00BB481B">
        <w:rPr>
          <w:rFonts w:eastAsia="Times New Roman"/>
          <w:lang w:val="en-US"/>
        </w:rPr>
        <w:t xml:space="preserve">in the RVQoE report </w:t>
      </w:r>
    </w:p>
    <w:p w14:paraId="4573DAB4" w14:textId="3C90B7A8" w:rsidR="00045A6F" w:rsidRDefault="00045A6F" w:rsidP="00045A6F">
      <w:pPr>
        <w:spacing w:after="0"/>
        <w:rPr>
          <w:rFonts w:eastAsia="Times New Roman"/>
          <w:lang w:val="en-US"/>
        </w:rPr>
      </w:pPr>
      <w:r w:rsidRPr="00BB481B">
        <w:rPr>
          <w:rFonts w:eastAsia="Times New Roman"/>
          <w:b/>
          <w:bCs/>
          <w:lang w:val="en-US"/>
        </w:rPr>
        <w:lastRenderedPageBreak/>
        <w:t>Proposal</w:t>
      </w:r>
      <w:r>
        <w:rPr>
          <w:rFonts w:eastAsia="Times New Roman"/>
          <w:b/>
          <w:bCs/>
          <w:lang w:val="en-US"/>
        </w:rPr>
        <w:t xml:space="preserve"> 12</w:t>
      </w:r>
      <w:r w:rsidRPr="00BB481B">
        <w:rPr>
          <w:rFonts w:eastAsia="Times New Roman"/>
          <w:lang w:val="en-US"/>
        </w:rPr>
        <w:t>: RVQoE configuration can be propagated from the source to target node upon mobility in RRC_CONNECTED and during context retrieval upon resumption from RRC_INACTIVE. The target/new RAN node may assemble a different RVQoE configuration</w:t>
      </w:r>
    </w:p>
    <w:p w14:paraId="16E2894A" w14:textId="77777777" w:rsidR="00045A6F" w:rsidRPr="00BB481B" w:rsidRDefault="00045A6F" w:rsidP="00045A6F">
      <w:pPr>
        <w:spacing w:after="0"/>
        <w:rPr>
          <w:rFonts w:eastAsia="Times New Roman"/>
          <w:lang w:val="en-US"/>
        </w:rPr>
      </w:pPr>
    </w:p>
    <w:p w14:paraId="0899F712" w14:textId="0BB9ACE2" w:rsidR="00045A6F" w:rsidRDefault="00045A6F" w:rsidP="00045A6F">
      <w:pPr>
        <w:spacing w:after="0"/>
        <w:rPr>
          <w:rFonts w:eastAsia="Times New Roman"/>
          <w:lang w:val="en-US"/>
        </w:rPr>
      </w:pPr>
      <w:r w:rsidRPr="00BB481B">
        <w:rPr>
          <w:rFonts w:eastAsia="Times New Roman"/>
          <w:b/>
          <w:bCs/>
          <w:lang w:val="en-US"/>
        </w:rPr>
        <w:t>Proposal</w:t>
      </w:r>
      <w:r>
        <w:rPr>
          <w:rFonts w:eastAsia="Times New Roman"/>
          <w:b/>
          <w:bCs/>
          <w:lang w:val="en-US"/>
        </w:rPr>
        <w:t xml:space="preserve"> 13</w:t>
      </w:r>
      <w:r w:rsidRPr="00BB481B">
        <w:rPr>
          <w:rFonts w:eastAsia="Times New Roman"/>
          <w:lang w:val="en-US"/>
        </w:rPr>
        <w:t>: RVQoE report can be signaled from the target to the source node after a successful handover</w:t>
      </w:r>
    </w:p>
    <w:p w14:paraId="6D2A1B23" w14:textId="77777777" w:rsidR="00045A6F" w:rsidRPr="00BB481B" w:rsidRDefault="00045A6F" w:rsidP="00045A6F">
      <w:pPr>
        <w:spacing w:after="0"/>
        <w:rPr>
          <w:rFonts w:eastAsia="Times New Roman"/>
          <w:lang w:val="en-US"/>
        </w:rPr>
      </w:pPr>
    </w:p>
    <w:p w14:paraId="15A8328D" w14:textId="03600109" w:rsidR="00045A6F" w:rsidRDefault="00045A6F" w:rsidP="00045A6F">
      <w:pPr>
        <w:spacing w:after="0"/>
        <w:rPr>
          <w:rFonts w:eastAsia="Times New Roman"/>
          <w:lang w:val="en-US"/>
        </w:rPr>
      </w:pPr>
      <w:r w:rsidRPr="00BB481B">
        <w:rPr>
          <w:rFonts w:eastAsia="Times New Roman"/>
          <w:b/>
          <w:bCs/>
          <w:lang w:val="en-US"/>
        </w:rPr>
        <w:t>Proposa</w:t>
      </w:r>
      <w:r>
        <w:rPr>
          <w:rFonts w:eastAsia="Times New Roman"/>
          <w:b/>
          <w:bCs/>
          <w:lang w:val="en-US"/>
        </w:rPr>
        <w:t>l 14</w:t>
      </w:r>
      <w:r w:rsidRPr="00BB481B">
        <w:rPr>
          <w:rFonts w:eastAsia="Times New Roman"/>
          <w:b/>
          <w:bCs/>
          <w:lang w:val="en-US"/>
        </w:rPr>
        <w:t xml:space="preserve">: </w:t>
      </w:r>
      <w:r w:rsidRPr="00BB481B">
        <w:rPr>
          <w:rFonts w:eastAsia="Times New Roman"/>
          <w:lang w:val="en-US"/>
        </w:rPr>
        <w:t xml:space="preserve"> NG-RAN can conclude which RVQoE metrics are available to be collected from the UE via UE capability signaling and the service type configured for the UE (no need for OAM to configure this explicitly in the QoE configuration container)</w:t>
      </w:r>
    </w:p>
    <w:p w14:paraId="1514585D" w14:textId="77777777" w:rsidR="00045A6F" w:rsidRPr="00BB481B" w:rsidRDefault="00045A6F" w:rsidP="00045A6F">
      <w:pPr>
        <w:spacing w:after="0"/>
        <w:rPr>
          <w:rFonts w:eastAsia="Times New Roman"/>
          <w:lang w:val="en-US"/>
        </w:rPr>
      </w:pPr>
    </w:p>
    <w:p w14:paraId="70A809DC" w14:textId="488EB410" w:rsidR="00045A6F" w:rsidRDefault="00045A6F" w:rsidP="00045A6F">
      <w:pPr>
        <w:overflowPunct w:val="0"/>
        <w:autoSpaceDE w:val="0"/>
        <w:autoSpaceDN w:val="0"/>
        <w:adjustRightInd w:val="0"/>
        <w:spacing w:beforeLines="50" w:before="120" w:after="0"/>
        <w:contextualSpacing/>
        <w:jc w:val="both"/>
        <w:textAlignment w:val="baseline"/>
      </w:pPr>
      <w:r w:rsidRPr="00EC6651">
        <w:rPr>
          <w:b/>
          <w:bCs/>
        </w:rPr>
        <w:t>Observation</w:t>
      </w:r>
      <w:r>
        <w:rPr>
          <w:b/>
          <w:bCs/>
        </w:rPr>
        <w:t xml:space="preserve"> 5</w:t>
      </w:r>
      <w:r>
        <w:t>: SA5 confirmed that multiple simultaneous legacy QoE measurements for the same service type can be supported</w:t>
      </w:r>
    </w:p>
    <w:p w14:paraId="259EA035" w14:textId="77777777" w:rsidR="00045A6F" w:rsidRDefault="00045A6F" w:rsidP="00045A6F">
      <w:pPr>
        <w:overflowPunct w:val="0"/>
        <w:autoSpaceDE w:val="0"/>
        <w:autoSpaceDN w:val="0"/>
        <w:adjustRightInd w:val="0"/>
        <w:spacing w:beforeLines="50" w:before="120" w:after="0"/>
        <w:contextualSpacing/>
        <w:jc w:val="both"/>
        <w:textAlignment w:val="baseline"/>
      </w:pPr>
    </w:p>
    <w:p w14:paraId="798F376D" w14:textId="77777777" w:rsidR="00045A6F" w:rsidRPr="00177B78" w:rsidRDefault="00045A6F" w:rsidP="00045A6F">
      <w:pPr>
        <w:rPr>
          <w:lang w:eastAsia="x-none"/>
        </w:rPr>
      </w:pPr>
      <w:r w:rsidRPr="00177B78">
        <w:rPr>
          <w:b/>
          <w:bCs/>
          <w:lang w:eastAsia="x-none"/>
        </w:rPr>
        <w:t>Proposal</w:t>
      </w:r>
      <w:r>
        <w:rPr>
          <w:b/>
          <w:bCs/>
          <w:lang w:eastAsia="x-none"/>
        </w:rPr>
        <w:t xml:space="preserve"> 15</w:t>
      </w:r>
      <w:r w:rsidRPr="00177B78">
        <w:rPr>
          <w:lang w:eastAsia="x-none"/>
        </w:rPr>
        <w:t>: Multiple simultaneous RVQoE for the same service type can be supported</w:t>
      </w:r>
    </w:p>
    <w:p w14:paraId="064E5034" w14:textId="77777777" w:rsidR="00045A6F" w:rsidRDefault="00045A6F" w:rsidP="00045A6F">
      <w:r w:rsidRPr="005E3EF5">
        <w:rPr>
          <w:b/>
          <w:bCs/>
        </w:rPr>
        <w:t>Observation</w:t>
      </w:r>
      <w:r>
        <w:rPr>
          <w:b/>
          <w:bCs/>
        </w:rPr>
        <w:t xml:space="preserve"> 6</w:t>
      </w:r>
      <w:r w:rsidRPr="005E3EF5">
        <w:rPr>
          <w:b/>
          <w:bCs/>
        </w:rPr>
        <w:t>:</w:t>
      </w:r>
      <w:r>
        <w:t xml:space="preserve"> Qualitative representation of QoE metrics in terms of a numerical value or an objective representation requires a model/function to be defined for each RAN visible QoE metric</w:t>
      </w:r>
    </w:p>
    <w:p w14:paraId="05679B42" w14:textId="77777777" w:rsidR="00045A6F" w:rsidRDefault="00045A6F" w:rsidP="00045A6F">
      <w:r>
        <w:rPr>
          <w:b/>
          <w:bCs/>
        </w:rPr>
        <w:t>Proposal 16</w:t>
      </w:r>
      <w:r>
        <w:t>: RAN3 to down select from the 3 options before deciding whether and how to support RVQoE values:</w:t>
      </w:r>
    </w:p>
    <w:p w14:paraId="72BBE793" w14:textId="77777777" w:rsidR="00045A6F" w:rsidRDefault="00045A6F" w:rsidP="00045A6F">
      <w:pPr>
        <w:pStyle w:val="ListParagraph"/>
        <w:numPr>
          <w:ilvl w:val="0"/>
          <w:numId w:val="44"/>
        </w:numPr>
      </w:pPr>
      <w:r>
        <w:t>Option 1: Pre-defined formula in SA4 specs</w:t>
      </w:r>
    </w:p>
    <w:p w14:paraId="2DAFDFE0" w14:textId="77777777" w:rsidR="00045A6F" w:rsidRDefault="00045A6F" w:rsidP="00045A6F">
      <w:pPr>
        <w:pStyle w:val="ListParagraph"/>
        <w:numPr>
          <w:ilvl w:val="0"/>
          <w:numId w:val="44"/>
        </w:numPr>
      </w:pPr>
      <w:r>
        <w:t>Option 2: Configurable by NG-RAN</w:t>
      </w:r>
    </w:p>
    <w:p w14:paraId="4F2C5663" w14:textId="77777777" w:rsidR="00045A6F" w:rsidRPr="00B572BB" w:rsidRDefault="00045A6F" w:rsidP="00045A6F">
      <w:pPr>
        <w:pStyle w:val="ListParagraph"/>
        <w:numPr>
          <w:ilvl w:val="0"/>
          <w:numId w:val="44"/>
        </w:numPr>
      </w:pPr>
      <w:r>
        <w:t>Option 3: Implementation specific to NG-RAN</w:t>
      </w:r>
    </w:p>
    <w:p w14:paraId="72FAEEC6" w14:textId="77777777" w:rsidR="00045A6F" w:rsidRPr="00A06C79" w:rsidRDefault="00045A6F" w:rsidP="00045A6F">
      <w:pPr>
        <w:rPr>
          <w:lang w:eastAsia="x-none"/>
        </w:rPr>
      </w:pPr>
      <w:r w:rsidRPr="00A06C79">
        <w:rPr>
          <w:b/>
          <w:bCs/>
          <w:lang w:eastAsia="x-none"/>
        </w:rPr>
        <w:t>Proposal</w:t>
      </w:r>
      <w:r>
        <w:rPr>
          <w:b/>
          <w:bCs/>
          <w:lang w:eastAsia="x-none"/>
        </w:rPr>
        <w:t xml:space="preserve"> 17</w:t>
      </w:r>
      <w:r w:rsidRPr="00A06C79">
        <w:rPr>
          <w:lang w:eastAsia="x-none"/>
        </w:rPr>
        <w:t>: Per-slice RVQOE and alignment of RVQOE with radio-related measurements can be discussed post progress on the corresponding topics for the legacy QoE.</w:t>
      </w:r>
    </w:p>
    <w:p w14:paraId="50AF501C" w14:textId="77777777" w:rsidR="00D81C03" w:rsidRPr="001062CC" w:rsidRDefault="00D81C03" w:rsidP="00D81C03">
      <w:pPr>
        <w:pStyle w:val="Heading1"/>
        <w:pBdr>
          <w:top w:val="single" w:sz="12" w:space="2" w:color="auto"/>
        </w:pBdr>
        <w:ind w:left="0" w:firstLine="0"/>
        <w:rPr>
          <w:rFonts w:ascii="Times New Roman" w:hAnsi="Times New Roman"/>
        </w:rPr>
      </w:pPr>
      <w:r w:rsidRPr="001062CC">
        <w:rPr>
          <w:rFonts w:ascii="Times New Roman" w:hAnsi="Times New Roman"/>
        </w:rPr>
        <w:t>4. References</w:t>
      </w:r>
    </w:p>
    <w:p w14:paraId="13621127" w14:textId="5716C7BD" w:rsidR="000E57E3" w:rsidRDefault="000E57E3" w:rsidP="00385912"/>
    <w:p w14:paraId="4669042E" w14:textId="239FBEF3" w:rsidR="00B953BC" w:rsidRDefault="00B953BC" w:rsidP="00B953BC">
      <w:pPr>
        <w:pStyle w:val="Heading1"/>
        <w:pBdr>
          <w:top w:val="single" w:sz="12" w:space="2" w:color="auto"/>
        </w:pBdr>
        <w:ind w:left="0" w:firstLine="0"/>
        <w:rPr>
          <w:rFonts w:ascii="Times New Roman" w:hAnsi="Times New Roman"/>
        </w:rPr>
      </w:pPr>
      <w:r>
        <w:rPr>
          <w:rFonts w:ascii="Times New Roman" w:hAnsi="Times New Roman"/>
        </w:rPr>
        <w:t>5. Appendix</w:t>
      </w:r>
    </w:p>
    <w:tbl>
      <w:tblPr>
        <w:tblStyle w:val="TableGrid"/>
        <w:tblW w:w="0" w:type="auto"/>
        <w:tblLayout w:type="fixed"/>
        <w:tblLook w:val="04A0" w:firstRow="1" w:lastRow="0" w:firstColumn="1" w:lastColumn="0" w:noHBand="0" w:noVBand="1"/>
      </w:tblPr>
      <w:tblGrid>
        <w:gridCol w:w="1237"/>
        <w:gridCol w:w="6048"/>
        <w:gridCol w:w="2065"/>
      </w:tblGrid>
      <w:tr w:rsidR="009B36CF" w:rsidRPr="00043D57" w14:paraId="7ABCF360" w14:textId="77777777" w:rsidTr="00FD7A73">
        <w:tc>
          <w:tcPr>
            <w:tcW w:w="1237" w:type="dxa"/>
          </w:tcPr>
          <w:p w14:paraId="7625AD88" w14:textId="77777777" w:rsidR="009B36CF" w:rsidRPr="00043D57" w:rsidRDefault="009B36CF" w:rsidP="00F714C4">
            <w:pPr>
              <w:contextualSpacing/>
              <w:rPr>
                <w:rFonts w:eastAsiaTheme="minorEastAsia"/>
                <w:b/>
                <w:bCs/>
                <w:lang w:val="en-US" w:eastAsia="zh-CN"/>
              </w:rPr>
            </w:pPr>
            <w:r w:rsidRPr="00043D57">
              <w:rPr>
                <w:rFonts w:eastAsiaTheme="minorEastAsia"/>
                <w:b/>
                <w:bCs/>
                <w:lang w:val="en-US" w:eastAsia="zh-CN"/>
              </w:rPr>
              <w:t>RVQOE metric</w:t>
            </w:r>
          </w:p>
        </w:tc>
        <w:tc>
          <w:tcPr>
            <w:tcW w:w="6048" w:type="dxa"/>
          </w:tcPr>
          <w:p w14:paraId="1E7F2E2C" w14:textId="77777777" w:rsidR="009B36CF" w:rsidRPr="00043D57" w:rsidRDefault="009B36CF" w:rsidP="00F714C4">
            <w:pPr>
              <w:contextualSpacing/>
              <w:rPr>
                <w:rFonts w:eastAsiaTheme="minorEastAsia"/>
                <w:b/>
                <w:bCs/>
                <w:lang w:val="en-US" w:eastAsia="zh-CN"/>
              </w:rPr>
            </w:pPr>
            <w:r w:rsidRPr="00043D57">
              <w:rPr>
                <w:rFonts w:eastAsiaTheme="minorEastAsia"/>
                <w:b/>
                <w:bCs/>
                <w:lang w:val="en-US" w:eastAsia="zh-CN"/>
              </w:rPr>
              <w:t>Description</w:t>
            </w:r>
          </w:p>
        </w:tc>
        <w:tc>
          <w:tcPr>
            <w:tcW w:w="2065" w:type="dxa"/>
          </w:tcPr>
          <w:p w14:paraId="101B19E4" w14:textId="77777777" w:rsidR="009B36CF" w:rsidRPr="00043D57" w:rsidRDefault="009B36CF" w:rsidP="00F714C4">
            <w:pPr>
              <w:contextualSpacing/>
              <w:rPr>
                <w:rFonts w:eastAsiaTheme="minorEastAsia"/>
                <w:b/>
                <w:bCs/>
                <w:lang w:val="en-US" w:eastAsia="zh-CN"/>
              </w:rPr>
            </w:pPr>
            <w:r w:rsidRPr="00043D57">
              <w:rPr>
                <w:rFonts w:eastAsiaTheme="minorEastAsia"/>
                <w:b/>
                <w:bCs/>
                <w:lang w:val="en-US" w:eastAsia="zh-CN"/>
              </w:rPr>
              <w:t>Potential benefits to RAN</w:t>
            </w:r>
          </w:p>
        </w:tc>
      </w:tr>
      <w:tr w:rsidR="009B36CF" w14:paraId="27B93E6F" w14:textId="77777777" w:rsidTr="00FD7A73">
        <w:tc>
          <w:tcPr>
            <w:tcW w:w="1237" w:type="dxa"/>
          </w:tcPr>
          <w:p w14:paraId="3DD1A8E1" w14:textId="77777777" w:rsidR="009B36CF" w:rsidRDefault="009B36CF" w:rsidP="00F714C4">
            <w:pPr>
              <w:contextualSpacing/>
              <w:rPr>
                <w:rFonts w:eastAsiaTheme="minorEastAsia"/>
                <w:lang w:val="en-US" w:eastAsia="zh-CN"/>
              </w:rPr>
            </w:pPr>
            <w:r w:rsidRPr="00E37564">
              <w:rPr>
                <w:rFonts w:eastAsiaTheme="minorEastAsia"/>
                <w:lang w:val="en-US" w:eastAsia="zh-CN"/>
              </w:rPr>
              <w:t>Buffer Level</w:t>
            </w:r>
          </w:p>
        </w:tc>
        <w:tc>
          <w:tcPr>
            <w:tcW w:w="6048" w:type="dxa"/>
          </w:tcPr>
          <w:p w14:paraId="2F489515" w14:textId="77777777" w:rsidR="009B36CF" w:rsidRDefault="009B36CF" w:rsidP="00F714C4">
            <w:pPr>
              <w:pStyle w:val="NormalWeb"/>
              <w:rPr>
                <w:sz w:val="20"/>
                <w:szCs w:val="20"/>
                <w:lang w:val="en-GB"/>
              </w:rPr>
            </w:pPr>
            <w:r w:rsidRPr="00F41970">
              <w:rPr>
                <w:sz w:val="20"/>
                <w:szCs w:val="20"/>
                <w:lang w:val="en-GB"/>
              </w:rPr>
              <w:t>Indicates the</w:t>
            </w:r>
            <w:r>
              <w:rPr>
                <w:sz w:val="20"/>
                <w:szCs w:val="20"/>
                <w:lang w:val="en-GB"/>
              </w:rPr>
              <w:t xml:space="preserve"> </w:t>
            </w:r>
            <w:r w:rsidRPr="00F41970">
              <w:rPr>
                <w:sz w:val="20"/>
                <w:szCs w:val="20"/>
                <w:lang w:val="en-GB"/>
              </w:rPr>
              <w:t>playout duration for which media data of all active</w:t>
            </w:r>
            <w:r>
              <w:rPr>
                <w:sz w:val="20"/>
                <w:szCs w:val="20"/>
                <w:lang w:val="en-GB"/>
              </w:rPr>
              <w:t xml:space="preserve"> </w:t>
            </w:r>
            <w:r w:rsidRPr="00F41970">
              <w:rPr>
                <w:sz w:val="20"/>
                <w:szCs w:val="20"/>
                <w:lang w:val="en-GB"/>
              </w:rPr>
              <w:t>media components is available starting from the</w:t>
            </w:r>
            <w:r>
              <w:rPr>
                <w:sz w:val="20"/>
                <w:szCs w:val="20"/>
                <w:lang w:val="en-GB"/>
              </w:rPr>
              <w:t xml:space="preserve"> </w:t>
            </w:r>
            <w:r w:rsidRPr="00F41970">
              <w:rPr>
                <w:sz w:val="20"/>
                <w:szCs w:val="20"/>
                <w:lang w:val="en-GB"/>
              </w:rPr>
              <w:t>current playout time.</w:t>
            </w:r>
          </w:p>
          <w:p w14:paraId="0E8C1C33" w14:textId="77777777" w:rsidR="009B36CF" w:rsidRDefault="009B36CF" w:rsidP="00F714C4">
            <w:pPr>
              <w:pStyle w:val="NormalWeb"/>
              <w:rPr>
                <w:sz w:val="20"/>
                <w:szCs w:val="20"/>
                <w:lang w:val="en-GB"/>
              </w:rPr>
            </w:pPr>
            <w:r w:rsidRPr="006C3D5D">
              <w:rPr>
                <w:sz w:val="20"/>
                <w:szCs w:val="20"/>
                <w:lang w:val="en-GB"/>
              </w:rPr>
              <w:t>A list of buffer occupancy level measurements during playout at normal speed.</w:t>
            </w:r>
            <w:r>
              <w:rPr>
                <w:sz w:val="20"/>
                <w:szCs w:val="20"/>
                <w:lang w:val="en-GB"/>
              </w:rPr>
              <w:t xml:space="preserve"> </w:t>
            </w:r>
            <w:r w:rsidRPr="00F41970">
              <w:rPr>
                <w:sz w:val="20"/>
                <w:szCs w:val="20"/>
                <w:lang w:val="en-GB"/>
              </w:rPr>
              <w:t>Level of the buffer</w:t>
            </w:r>
            <w:r>
              <w:rPr>
                <w:sz w:val="20"/>
                <w:szCs w:val="20"/>
                <w:lang w:val="en-GB"/>
              </w:rPr>
              <w:t xml:space="preserve"> is included</w:t>
            </w:r>
            <w:r w:rsidRPr="00F41970">
              <w:rPr>
                <w:sz w:val="20"/>
                <w:szCs w:val="20"/>
                <w:lang w:val="en-GB"/>
              </w:rPr>
              <w:t xml:space="preserve"> in </w:t>
            </w:r>
            <w:r w:rsidRPr="006409FC">
              <w:rPr>
                <w:b/>
                <w:bCs/>
                <w:sz w:val="20"/>
                <w:szCs w:val="20"/>
                <w:lang w:val="en-GB"/>
              </w:rPr>
              <w:t>milliseconds</w:t>
            </w:r>
            <w:r w:rsidRPr="00F41970">
              <w:rPr>
                <w:sz w:val="20"/>
                <w:szCs w:val="20"/>
                <w:lang w:val="en-GB"/>
              </w:rPr>
              <w:t xml:space="preserve">. </w:t>
            </w:r>
          </w:p>
          <w:p w14:paraId="302294A3" w14:textId="77777777" w:rsidR="009B36CF" w:rsidRDefault="009B36CF" w:rsidP="00F714C4">
            <w:pPr>
              <w:pStyle w:val="NormalWeb"/>
              <w:rPr>
                <w:sz w:val="20"/>
                <w:szCs w:val="20"/>
                <w:lang w:val="en-GB"/>
              </w:rPr>
            </w:pPr>
            <w:r w:rsidRPr="00C464F6">
              <w:rPr>
                <w:sz w:val="20"/>
                <w:szCs w:val="20"/>
                <w:lang w:val="en-GB"/>
              </w:rPr>
              <w:t>Time of the measurement of the buffer level</w:t>
            </w:r>
            <w:r>
              <w:rPr>
                <w:sz w:val="20"/>
                <w:szCs w:val="20"/>
                <w:lang w:val="en-GB"/>
              </w:rPr>
              <w:t xml:space="preserve"> is also included. </w:t>
            </w:r>
            <w:r w:rsidRPr="00B27E0D">
              <w:rPr>
                <w:sz w:val="20"/>
                <w:szCs w:val="20"/>
                <w:lang w:val="en-GB"/>
              </w:rPr>
              <w:t>Annex D.4.5 in ISO/IEC 23009-1 defines the metrics for buffer level status events</w:t>
            </w:r>
            <w:r>
              <w:rPr>
                <w:sz w:val="20"/>
                <w:szCs w:val="20"/>
                <w:lang w:val="en-GB"/>
              </w:rPr>
              <w:t xml:space="preserve"> as follows:</w:t>
            </w:r>
          </w:p>
          <w:p w14:paraId="39AD0F53" w14:textId="77777777" w:rsidR="009B36CF" w:rsidRPr="00F76EA8" w:rsidRDefault="009B36CF" w:rsidP="00F714C4">
            <w:pPr>
              <w:pStyle w:val="NormalWeb"/>
              <w:rPr>
                <w:sz w:val="20"/>
                <w:szCs w:val="20"/>
                <w:lang w:val="en-GB"/>
              </w:rPr>
            </w:pPr>
            <w:r>
              <w:rPr>
                <w:noProof/>
              </w:rPr>
              <w:drawing>
                <wp:inline distT="0" distB="0" distL="0" distR="0" wp14:anchorId="49094F1F" wp14:editId="052D23A5">
                  <wp:extent cx="3417570" cy="11550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17570" cy="1155065"/>
                          </a:xfrm>
                          <a:prstGeom prst="rect">
                            <a:avLst/>
                          </a:prstGeom>
                        </pic:spPr>
                      </pic:pic>
                    </a:graphicData>
                  </a:graphic>
                </wp:inline>
              </w:drawing>
            </w:r>
          </w:p>
        </w:tc>
        <w:tc>
          <w:tcPr>
            <w:tcW w:w="2065" w:type="dxa"/>
          </w:tcPr>
          <w:p w14:paraId="3F31C263" w14:textId="7040D8B2" w:rsidR="009B36CF" w:rsidRDefault="009B36CF" w:rsidP="00F714C4">
            <w:pPr>
              <w:contextualSpacing/>
              <w:rPr>
                <w:rFonts w:eastAsiaTheme="minorEastAsia"/>
                <w:lang w:val="en-US" w:eastAsia="zh-CN"/>
              </w:rPr>
            </w:pPr>
            <w:r w:rsidRPr="00110B42">
              <w:rPr>
                <w:rFonts w:eastAsiaTheme="minorEastAsia"/>
                <w:lang w:val="en-US" w:eastAsia="zh-CN"/>
              </w:rPr>
              <w:t>Better mobility decisions at RAN based on buffer level (e.g., the selection of HO type between legacy HO, DAPS HO or CHO), leading to seamless connectivity and a lower risk of video stalling</w:t>
            </w:r>
          </w:p>
          <w:p w14:paraId="02C61057" w14:textId="036D8DD6" w:rsidR="0054353D" w:rsidRDefault="0054353D" w:rsidP="00F714C4">
            <w:pPr>
              <w:contextualSpacing/>
              <w:rPr>
                <w:rFonts w:eastAsiaTheme="minorEastAsia"/>
                <w:lang w:val="en-US" w:eastAsia="zh-CN"/>
              </w:rPr>
            </w:pPr>
          </w:p>
          <w:p w14:paraId="1CE6EF03" w14:textId="47C26C3C" w:rsidR="0054353D" w:rsidRPr="00110B42" w:rsidRDefault="0054353D" w:rsidP="00F714C4">
            <w:pPr>
              <w:contextualSpacing/>
              <w:rPr>
                <w:rFonts w:eastAsiaTheme="minorEastAsia"/>
                <w:lang w:val="en-US" w:eastAsia="zh-CN"/>
              </w:rPr>
            </w:pPr>
            <w:r>
              <w:rPr>
                <w:rFonts w:eastAsiaTheme="minorEastAsia"/>
                <w:lang w:val="en-US" w:eastAsia="zh-CN"/>
              </w:rPr>
              <w:t>Assists</w:t>
            </w:r>
            <w:r w:rsidRPr="0054353D">
              <w:rPr>
                <w:rFonts w:eastAsiaTheme="minorEastAsia"/>
                <w:lang w:val="en-US" w:eastAsia="zh-CN"/>
              </w:rPr>
              <w:t xml:space="preserve"> </w:t>
            </w:r>
            <w:r>
              <w:rPr>
                <w:rFonts w:eastAsiaTheme="minorEastAsia"/>
                <w:lang w:val="en-US" w:eastAsia="zh-CN"/>
              </w:rPr>
              <w:t>NG-</w:t>
            </w:r>
            <w:r w:rsidRPr="0054353D">
              <w:rPr>
                <w:rFonts w:eastAsiaTheme="minorEastAsia"/>
                <w:lang w:val="en-US" w:eastAsia="zh-CN"/>
              </w:rPr>
              <w:t xml:space="preserve">RAN </w:t>
            </w:r>
            <w:r w:rsidR="00990060">
              <w:rPr>
                <w:rFonts w:eastAsiaTheme="minorEastAsia"/>
                <w:lang w:val="en-US" w:eastAsia="zh-CN"/>
              </w:rPr>
              <w:t xml:space="preserve">to </w:t>
            </w:r>
            <w:r w:rsidRPr="0054353D">
              <w:rPr>
                <w:rFonts w:eastAsiaTheme="minorEastAsia"/>
                <w:lang w:val="en-US" w:eastAsia="zh-CN"/>
              </w:rPr>
              <w:t xml:space="preserve">adjust the resource allocation for the UE. For example, the base station will consider scheduling more radio resources to those streams which reports </w:t>
            </w:r>
            <w:r w:rsidR="005D2A78">
              <w:rPr>
                <w:rFonts w:eastAsiaTheme="minorEastAsia"/>
                <w:lang w:val="en-US" w:eastAsia="zh-CN"/>
              </w:rPr>
              <w:t>higher</w:t>
            </w:r>
            <w:r w:rsidRPr="0054353D">
              <w:rPr>
                <w:rFonts w:eastAsiaTheme="minorEastAsia"/>
                <w:lang w:val="en-US" w:eastAsia="zh-CN"/>
              </w:rPr>
              <w:t xml:space="preserve"> buffer level so </w:t>
            </w:r>
            <w:r w:rsidR="00990060">
              <w:rPr>
                <w:rFonts w:eastAsiaTheme="minorEastAsia"/>
                <w:lang w:val="en-US" w:eastAsia="zh-CN"/>
              </w:rPr>
              <w:lastRenderedPageBreak/>
              <w:t>as</w:t>
            </w:r>
            <w:r w:rsidRPr="0054353D">
              <w:rPr>
                <w:rFonts w:eastAsiaTheme="minorEastAsia"/>
                <w:lang w:val="en-US" w:eastAsia="zh-CN"/>
              </w:rPr>
              <w:t xml:space="preserve"> to guarantee the stream will be process</w:t>
            </w:r>
            <w:r w:rsidR="00990060">
              <w:rPr>
                <w:rFonts w:eastAsiaTheme="minorEastAsia"/>
                <w:lang w:val="en-US" w:eastAsia="zh-CN"/>
              </w:rPr>
              <w:t xml:space="preserve">ed </w:t>
            </w:r>
            <w:r w:rsidRPr="0054353D">
              <w:rPr>
                <w:rFonts w:eastAsiaTheme="minorEastAsia"/>
                <w:lang w:val="en-US" w:eastAsia="zh-CN"/>
              </w:rPr>
              <w:t>properly.</w:t>
            </w:r>
          </w:p>
          <w:p w14:paraId="25C2E17E" w14:textId="77777777" w:rsidR="009B36CF" w:rsidRDefault="009B36CF" w:rsidP="00F714C4">
            <w:pPr>
              <w:contextualSpacing/>
              <w:rPr>
                <w:rFonts w:eastAsiaTheme="minorEastAsia"/>
                <w:lang w:val="en-US" w:eastAsia="zh-CN"/>
              </w:rPr>
            </w:pPr>
          </w:p>
          <w:p w14:paraId="72FB24A2" w14:textId="2A6BFB74" w:rsidR="005D2A78" w:rsidRDefault="005D2A78" w:rsidP="00F714C4">
            <w:pPr>
              <w:contextualSpacing/>
              <w:rPr>
                <w:rFonts w:eastAsiaTheme="minorEastAsia"/>
                <w:lang w:val="en-US" w:eastAsia="zh-CN"/>
              </w:rPr>
            </w:pPr>
          </w:p>
        </w:tc>
      </w:tr>
      <w:tr w:rsidR="000D1E8A" w14:paraId="574D5F1E" w14:textId="77777777" w:rsidTr="00FD7A73">
        <w:tc>
          <w:tcPr>
            <w:tcW w:w="1237" w:type="dxa"/>
          </w:tcPr>
          <w:p w14:paraId="21AE6D11" w14:textId="6B7949B7" w:rsidR="000D1E8A" w:rsidRPr="00E37564" w:rsidRDefault="000D1E8A" w:rsidP="000D1E8A">
            <w:pPr>
              <w:contextualSpacing/>
              <w:rPr>
                <w:rFonts w:eastAsiaTheme="minorEastAsia"/>
                <w:lang w:val="en-US" w:eastAsia="zh-CN"/>
              </w:rPr>
            </w:pPr>
            <w:r>
              <w:lastRenderedPageBreak/>
              <w:t>Buffer level Alarm</w:t>
            </w:r>
          </w:p>
        </w:tc>
        <w:tc>
          <w:tcPr>
            <w:tcW w:w="6048" w:type="dxa"/>
          </w:tcPr>
          <w:p w14:paraId="270DD8BC" w14:textId="49868035" w:rsidR="000D1E8A" w:rsidRDefault="00C468FD" w:rsidP="000D1E8A">
            <w:pPr>
              <w:contextualSpacing/>
            </w:pPr>
            <w:r>
              <w:t>B</w:t>
            </w:r>
            <w:r w:rsidR="000D1E8A">
              <w:t xml:space="preserve">uffer level corresponds to the </w:t>
            </w:r>
            <w:r w:rsidR="000D1E8A" w:rsidRPr="006B2E29">
              <w:rPr>
                <w:b/>
                <w:bCs/>
              </w:rPr>
              <w:t>DL buffer at the UE application client</w:t>
            </w:r>
            <w:r w:rsidR="000D1E8A">
              <w:t>, indicating the "</w:t>
            </w:r>
            <w:r w:rsidR="000D1E8A" w:rsidRPr="006B2E29">
              <w:rPr>
                <w:i/>
                <w:iCs/>
              </w:rPr>
              <w:t>playout duration for which media data of all active media components is available starting from the current playout time</w:t>
            </w:r>
            <w:r w:rsidR="000D1E8A">
              <w:t xml:space="preserve">". </w:t>
            </w:r>
          </w:p>
          <w:p w14:paraId="59406376" w14:textId="77777777" w:rsidR="000D1E8A" w:rsidRDefault="000D1E8A" w:rsidP="000D1E8A">
            <w:pPr>
              <w:contextualSpacing/>
            </w:pPr>
          </w:p>
          <w:p w14:paraId="1634846E" w14:textId="77777777" w:rsidR="000D1E8A" w:rsidRDefault="000D1E8A" w:rsidP="000D1E8A">
            <w:pPr>
              <w:contextualSpacing/>
            </w:pPr>
            <w:r>
              <w:t xml:space="preserve">In normal operation, when the buffer level falls below a given threshold, an end-to-end flow control in the client will request further data to be sent from the application server. </w:t>
            </w:r>
          </w:p>
          <w:p w14:paraId="77C92C46" w14:textId="77777777" w:rsidR="000D1E8A" w:rsidRDefault="000D1E8A" w:rsidP="000D1E8A">
            <w:pPr>
              <w:contextualSpacing/>
            </w:pPr>
          </w:p>
          <w:p w14:paraId="7BB48218" w14:textId="77777777" w:rsidR="000D1E8A" w:rsidRDefault="000D1E8A" w:rsidP="000D1E8A">
            <w:pPr>
              <w:contextualSpacing/>
            </w:pPr>
            <w:r>
              <w:t xml:space="preserve">If the application server, transport network or the RAN is </w:t>
            </w:r>
            <w:r w:rsidRPr="00C468FD">
              <w:rPr>
                <w:b/>
                <w:bCs/>
                <w:u w:val="single"/>
              </w:rPr>
              <w:t>congested</w:t>
            </w:r>
            <w:r>
              <w:t xml:space="preserve">, the client in the UE will not receive the needed information for continued streaming. </w:t>
            </w:r>
          </w:p>
          <w:p w14:paraId="56EFDEE9" w14:textId="77777777" w:rsidR="000D1E8A" w:rsidRDefault="000D1E8A" w:rsidP="000D1E8A">
            <w:pPr>
              <w:contextualSpacing/>
            </w:pPr>
          </w:p>
          <w:p w14:paraId="4B4764CA" w14:textId="77777777" w:rsidR="000D1E8A" w:rsidRDefault="000D1E8A" w:rsidP="000D1E8A">
            <w:pPr>
              <w:contextualSpacing/>
            </w:pPr>
            <w:r>
              <w:t xml:space="preserve">In this situation we believe that availability of the absolute buffer level measurement in the RAN would not be easily exploitable. </w:t>
            </w:r>
          </w:p>
          <w:p w14:paraId="0CF2728D" w14:textId="77777777" w:rsidR="000D1E8A" w:rsidRDefault="000D1E8A" w:rsidP="000D1E8A">
            <w:pPr>
              <w:contextualSpacing/>
            </w:pPr>
          </w:p>
          <w:p w14:paraId="4C21448B" w14:textId="77777777" w:rsidR="000D1E8A" w:rsidRDefault="000D1E8A" w:rsidP="000D1E8A">
            <w:pPr>
              <w:contextualSpacing/>
            </w:pPr>
            <w:r>
              <w:t xml:space="preserve">However it could be discussed whether there is a benefit that derived information, e.g. that the client determines that the buffer level falls below an "alarm" level (defined by a second threshold, lower than the one used for nominal E2E flow control) is available in the RAN. </w:t>
            </w:r>
          </w:p>
          <w:p w14:paraId="334F609D" w14:textId="77777777" w:rsidR="000D1E8A" w:rsidRDefault="000D1E8A" w:rsidP="000D1E8A">
            <w:pPr>
              <w:contextualSpacing/>
            </w:pPr>
          </w:p>
          <w:p w14:paraId="073A31E4" w14:textId="6FE8F7C4" w:rsidR="000D1E8A" w:rsidRDefault="000D1E8A" w:rsidP="000D1E8A">
            <w:pPr>
              <w:contextualSpacing/>
            </w:pPr>
            <w:r>
              <w:t xml:space="preserve">In that case the RAN could check the DL buffer in the PDCP layer for the corresponding </w:t>
            </w:r>
            <w:r w:rsidR="00A53AA0">
              <w:t>DRB and</w:t>
            </w:r>
            <w:r>
              <w:t xml:space="preserve"> prioritize it in case data is actually buffered in the RAN (which would mean that the bottle-neck is situated in the RAN). </w:t>
            </w:r>
          </w:p>
          <w:p w14:paraId="3B9AF55A" w14:textId="2494229E" w:rsidR="000D1E8A" w:rsidRPr="00F41970" w:rsidRDefault="000D1E8A" w:rsidP="000D1E8A">
            <w:pPr>
              <w:pStyle w:val="NormalWeb"/>
              <w:rPr>
                <w:sz w:val="20"/>
                <w:szCs w:val="20"/>
                <w:lang w:val="en-GB"/>
              </w:rPr>
            </w:pPr>
            <w:r w:rsidRPr="00A53AA0">
              <w:rPr>
                <w:rFonts w:eastAsia="Malgun Gothic"/>
                <w:sz w:val="20"/>
                <w:szCs w:val="20"/>
                <w:lang w:val="en-GB"/>
              </w:rPr>
              <w:t>It is still an open question whether such additional mechanism will bring benefit on top of already existing mechanisms ensuring QoS for GBR bearers, or on top of mechanisms allocating resources while ensuring fairness between non-GBR bearers.</w:t>
            </w:r>
          </w:p>
        </w:tc>
        <w:tc>
          <w:tcPr>
            <w:tcW w:w="2065" w:type="dxa"/>
          </w:tcPr>
          <w:p w14:paraId="6200D76C" w14:textId="577612FD" w:rsidR="000D1E8A" w:rsidRDefault="000D1E8A" w:rsidP="000D1E8A">
            <w:pPr>
              <w:pStyle w:val="NormalWeb"/>
              <w:spacing w:before="0" w:beforeAutospacing="0" w:after="180" w:afterAutospacing="0"/>
              <w:rPr>
                <w:sz w:val="20"/>
                <w:szCs w:val="20"/>
                <w:lang w:val="en-GB"/>
              </w:rPr>
            </w:pPr>
            <w:r>
              <w:rPr>
                <w:sz w:val="20"/>
                <w:szCs w:val="20"/>
                <w:lang w:val="en-GB"/>
              </w:rPr>
              <w:t>A</w:t>
            </w:r>
            <w:r w:rsidRPr="006302D0">
              <w:rPr>
                <w:sz w:val="20"/>
                <w:szCs w:val="20"/>
                <w:lang w:val="en-GB"/>
              </w:rPr>
              <w:t xml:space="preserve"> UE going to be “starved” for DL streaming data could get higher scheduling priority, and that would help if DL data is already buffered in the CU-UP (PDCP buffer)).</w:t>
            </w:r>
          </w:p>
          <w:p w14:paraId="555523C6" w14:textId="77777777" w:rsidR="000D1E8A" w:rsidRDefault="000D1E8A" w:rsidP="000D1E8A">
            <w:pPr>
              <w:contextualSpacing/>
              <w:rPr>
                <w:rFonts w:eastAsiaTheme="minorEastAsia"/>
                <w:lang w:val="en-US" w:eastAsia="zh-CN"/>
              </w:rPr>
            </w:pPr>
            <w:r>
              <w:rPr>
                <w:rFonts w:eastAsiaTheme="minorEastAsia"/>
                <w:lang w:val="en-US" w:eastAsia="zh-CN"/>
              </w:rPr>
              <w:t>NG-</w:t>
            </w:r>
            <w:r w:rsidRPr="007D7D7A">
              <w:rPr>
                <w:rFonts w:eastAsiaTheme="minorEastAsia"/>
                <w:lang w:val="en-US" w:eastAsia="zh-CN"/>
              </w:rPr>
              <w:t>RAN will have to compare the received information with own DL PDCP buffer status for the RB. The play-list may also serve a statistical purpose, redundant with buffer level information.</w:t>
            </w:r>
          </w:p>
          <w:p w14:paraId="42C33ECF" w14:textId="77777777" w:rsidR="000D1E8A" w:rsidRPr="00110B42" w:rsidRDefault="000D1E8A" w:rsidP="000D1E8A">
            <w:pPr>
              <w:contextualSpacing/>
              <w:rPr>
                <w:rFonts w:eastAsiaTheme="minorEastAsia"/>
                <w:lang w:val="en-US" w:eastAsia="zh-CN"/>
              </w:rPr>
            </w:pPr>
          </w:p>
        </w:tc>
      </w:tr>
      <w:tr w:rsidR="000D1E8A" w14:paraId="1C7F6851" w14:textId="77777777" w:rsidTr="00FD7A73">
        <w:tc>
          <w:tcPr>
            <w:tcW w:w="1237" w:type="dxa"/>
          </w:tcPr>
          <w:p w14:paraId="72FA9BCA" w14:textId="77777777" w:rsidR="000D1E8A" w:rsidRDefault="000D1E8A" w:rsidP="000D1E8A">
            <w:pPr>
              <w:contextualSpacing/>
              <w:rPr>
                <w:rFonts w:eastAsiaTheme="minorEastAsia"/>
                <w:lang w:val="en-US" w:eastAsia="zh-CN"/>
              </w:rPr>
            </w:pPr>
            <w:r w:rsidRPr="00776749">
              <w:t>Playout Delay for Media Start-up</w:t>
            </w:r>
          </w:p>
        </w:tc>
        <w:tc>
          <w:tcPr>
            <w:tcW w:w="6048" w:type="dxa"/>
          </w:tcPr>
          <w:p w14:paraId="1337829B" w14:textId="77777777" w:rsidR="000D1E8A" w:rsidRDefault="000D1E8A" w:rsidP="000D1E8A">
            <w:pPr>
              <w:contextualSpacing/>
            </w:pPr>
            <w:r w:rsidRPr="00C90D3F">
              <w:t xml:space="preserve">The playout delay for media start-up is measured as the time in </w:t>
            </w:r>
            <w:r w:rsidRPr="00CB412F">
              <w:rPr>
                <w:b/>
                <w:bCs/>
              </w:rPr>
              <w:t>milliseconds</w:t>
            </w:r>
            <w:r w:rsidRPr="00C90D3F">
              <w:t xml:space="preserve"> from the time instant of DASH player receives play-back-start trigger to the instant of media playout.</w:t>
            </w:r>
          </w:p>
          <w:p w14:paraId="539A2F47" w14:textId="77777777" w:rsidR="000D1E8A" w:rsidRDefault="000D1E8A" w:rsidP="000D1E8A">
            <w:pPr>
              <w:contextualSpacing/>
            </w:pPr>
          </w:p>
          <w:p w14:paraId="5D148EC2" w14:textId="77777777" w:rsidR="000D1E8A" w:rsidRDefault="000D1E8A" w:rsidP="000D1E8A">
            <w:r w:rsidRPr="00CC1F51">
              <w:t xml:space="preserve">This metric </w:t>
            </w:r>
            <w:r>
              <w:rPr>
                <w:rFonts w:hint="eastAsia"/>
                <w:lang w:eastAsia="zh-CN"/>
              </w:rPr>
              <w:t>indicate</w:t>
            </w:r>
            <w:r w:rsidRPr="00CC1F51">
              <w:t xml:space="preserve">s the </w:t>
            </w:r>
            <w:r>
              <w:rPr>
                <w:rFonts w:hint="eastAsia"/>
                <w:lang w:eastAsia="zh-CN"/>
              </w:rPr>
              <w:t>waiting time that the user experiences for media start-up.</w:t>
            </w:r>
            <w:r>
              <w:rPr>
                <w:lang w:eastAsia="zh-CN"/>
              </w:rPr>
              <w:t xml:space="preserve"> </w:t>
            </w:r>
            <w:r>
              <w:t xml:space="preserve">The metric is only logged at the time point when the </w:t>
            </w:r>
            <w:r w:rsidRPr="00494B40">
              <w:rPr>
                <w:b/>
                <w:bCs/>
              </w:rPr>
              <w:t>media start-up happens</w:t>
            </w:r>
            <w:r>
              <w:t>.</w:t>
            </w:r>
          </w:p>
          <w:p w14:paraId="78B58BC1" w14:textId="77777777" w:rsidR="000D1E8A" w:rsidRDefault="000D1E8A" w:rsidP="000D1E8A">
            <w:pPr>
              <w:pStyle w:val="B1"/>
              <w:numPr>
                <w:ilvl w:val="0"/>
                <w:numId w:val="31"/>
              </w:numPr>
              <w:rPr>
                <w:noProof/>
                <w:lang w:val="en-CA" w:eastAsia="zh-CN"/>
              </w:rPr>
            </w:pPr>
            <w:r w:rsidRPr="00B726F6">
              <w:rPr>
                <w:noProof/>
                <w:lang w:val="en-CA"/>
              </w:rPr>
              <w:t xml:space="preserve">If the MPD has been delivered earlier </w:t>
            </w:r>
            <w:r>
              <w:rPr>
                <w:rFonts w:hint="eastAsia"/>
                <w:noProof/>
                <w:lang w:val="en-CA" w:eastAsia="zh-CN"/>
              </w:rPr>
              <w:t>before the user clicks</w:t>
            </w:r>
            <w:r w:rsidRPr="00B726F6">
              <w:rPr>
                <w:noProof/>
                <w:lang w:val="en-CA"/>
              </w:rPr>
              <w:t>, it may include the</w:t>
            </w:r>
            <w:r>
              <w:rPr>
                <w:rFonts w:hint="eastAsia"/>
                <w:noProof/>
                <w:lang w:val="en-CA" w:eastAsia="zh-CN"/>
              </w:rPr>
              <w:t xml:space="preserve"> process time of MPD, the</w:t>
            </w:r>
            <w:r w:rsidRPr="00B726F6">
              <w:rPr>
                <w:noProof/>
                <w:lang w:val="en-CA"/>
              </w:rPr>
              <w:t xml:space="preserve"> fetch time of </w:t>
            </w:r>
            <w:r>
              <w:rPr>
                <w:rFonts w:hint="eastAsia"/>
                <w:noProof/>
                <w:lang w:val="en-CA" w:eastAsia="zh-CN"/>
              </w:rPr>
              <w:t xml:space="preserve">some </w:t>
            </w:r>
            <w:r w:rsidRPr="00B726F6">
              <w:rPr>
                <w:noProof/>
                <w:lang w:val="en-CA"/>
              </w:rPr>
              <w:t>media segment</w:t>
            </w:r>
            <w:r>
              <w:rPr>
                <w:rFonts w:hint="eastAsia"/>
                <w:noProof/>
                <w:lang w:val="en-CA" w:eastAsia="zh-CN"/>
              </w:rPr>
              <w:t>s which are required for media presentation, the process time of segments, and the</w:t>
            </w:r>
            <w:r w:rsidRPr="0017295F">
              <w:t xml:space="preserve"> </w:t>
            </w:r>
            <w:r>
              <w:rPr>
                <w:rFonts w:hint="eastAsia"/>
                <w:lang w:eastAsia="zh-CN"/>
              </w:rPr>
              <w:t xml:space="preserve">time for </w:t>
            </w:r>
            <w:r w:rsidRPr="0017295F">
              <w:t xml:space="preserve">media </w:t>
            </w:r>
            <w:r>
              <w:rPr>
                <w:rFonts w:hint="eastAsia"/>
                <w:lang w:eastAsia="zh-CN"/>
              </w:rPr>
              <w:t>decode and render to the user</w:t>
            </w:r>
            <w:r w:rsidRPr="00B726F6">
              <w:rPr>
                <w:noProof/>
                <w:lang w:val="en-CA"/>
              </w:rPr>
              <w:t>.</w:t>
            </w:r>
          </w:p>
          <w:p w14:paraId="67BF5ECD" w14:textId="77777777" w:rsidR="000D1E8A" w:rsidRPr="00975F9F" w:rsidRDefault="000D1E8A" w:rsidP="000D1E8A">
            <w:pPr>
              <w:pStyle w:val="ListParagraph"/>
              <w:numPr>
                <w:ilvl w:val="0"/>
                <w:numId w:val="31"/>
              </w:numPr>
              <w:rPr>
                <w:rFonts w:eastAsiaTheme="minorEastAsia"/>
                <w:lang w:val="en-US" w:eastAsia="zh-CN"/>
              </w:rPr>
            </w:pPr>
            <w:r w:rsidRPr="00975F9F">
              <w:rPr>
                <w:noProof/>
                <w:lang w:val="en-CA"/>
              </w:rPr>
              <w:t xml:space="preserve">If no MPD has been fetched earlier, it </w:t>
            </w:r>
            <w:r w:rsidRPr="00975F9F">
              <w:rPr>
                <w:rFonts w:hint="eastAsia"/>
                <w:noProof/>
                <w:lang w:val="en-CA" w:eastAsia="zh-CN"/>
              </w:rPr>
              <w:t>also needs to add</w:t>
            </w:r>
            <w:r w:rsidRPr="00975F9F">
              <w:rPr>
                <w:noProof/>
                <w:lang w:val="en-CA"/>
              </w:rPr>
              <w:t xml:space="preserve"> </w:t>
            </w:r>
            <w:r w:rsidRPr="00975F9F">
              <w:rPr>
                <w:rFonts w:hint="eastAsia"/>
                <w:noProof/>
                <w:lang w:val="en-CA" w:eastAsia="zh-CN"/>
              </w:rPr>
              <w:t xml:space="preserve">the </w:t>
            </w:r>
            <w:r w:rsidRPr="00975F9F">
              <w:rPr>
                <w:noProof/>
                <w:lang w:val="en-CA"/>
              </w:rPr>
              <w:t>fetch time of MPD.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206"/>
              <w:gridCol w:w="1389"/>
            </w:tblGrid>
            <w:tr w:rsidR="000D1E8A" w:rsidRPr="00CC1F51" w14:paraId="01BC4A53" w14:textId="77777777" w:rsidTr="00F714C4">
              <w:trPr>
                <w:jc w:val="center"/>
              </w:trPr>
              <w:tc>
                <w:tcPr>
                  <w:tcW w:w="3206" w:type="dxa"/>
                  <w:shd w:val="clear" w:color="auto" w:fill="BFBFBF"/>
                </w:tcPr>
                <w:p w14:paraId="33A4C9B2" w14:textId="77777777" w:rsidR="000D1E8A" w:rsidRPr="00CC1F51" w:rsidRDefault="000D1E8A" w:rsidP="000D1E8A">
                  <w:pPr>
                    <w:pStyle w:val="TAH"/>
                    <w:rPr>
                      <w:rFonts w:eastAsia="MS Mincho"/>
                      <w:lang w:eastAsia="ja-JP"/>
                    </w:rPr>
                  </w:pPr>
                  <w:r w:rsidRPr="00CC1F51">
                    <w:rPr>
                      <w:rFonts w:eastAsia="MS Mincho"/>
                      <w:lang w:eastAsia="ja-JP"/>
                    </w:rPr>
                    <w:t>Key</w:t>
                  </w:r>
                </w:p>
              </w:tc>
              <w:tc>
                <w:tcPr>
                  <w:tcW w:w="1389" w:type="dxa"/>
                  <w:shd w:val="clear" w:color="auto" w:fill="BFBFBF"/>
                </w:tcPr>
                <w:p w14:paraId="53DA88BB" w14:textId="77777777" w:rsidR="000D1E8A" w:rsidRPr="00CC1F51" w:rsidRDefault="000D1E8A" w:rsidP="000D1E8A">
                  <w:pPr>
                    <w:pStyle w:val="TAH"/>
                    <w:rPr>
                      <w:rFonts w:eastAsia="MS Mincho"/>
                      <w:lang w:eastAsia="ja-JP"/>
                    </w:rPr>
                  </w:pPr>
                  <w:r w:rsidRPr="00CC1F51">
                    <w:rPr>
                      <w:rFonts w:eastAsia="MS Mincho"/>
                      <w:lang w:eastAsia="ja-JP"/>
                    </w:rPr>
                    <w:t>Type</w:t>
                  </w:r>
                </w:p>
              </w:tc>
            </w:tr>
            <w:tr w:rsidR="000D1E8A" w:rsidRPr="00CC1F51" w14:paraId="5742105D" w14:textId="77777777" w:rsidTr="00F714C4">
              <w:trPr>
                <w:jc w:val="center"/>
              </w:trPr>
              <w:tc>
                <w:tcPr>
                  <w:tcW w:w="3206" w:type="dxa"/>
                  <w:shd w:val="clear" w:color="auto" w:fill="FFFFFF"/>
                </w:tcPr>
                <w:p w14:paraId="2F7C0435" w14:textId="77777777" w:rsidR="000D1E8A" w:rsidRPr="001E55E3" w:rsidRDefault="000D1E8A" w:rsidP="000D1E8A">
                  <w:pPr>
                    <w:pStyle w:val="TAL"/>
                    <w:rPr>
                      <w:rFonts w:ascii="Courier New" w:hAnsi="Courier New" w:cs="Courier New"/>
                      <w:lang w:eastAsia="zh-CN"/>
                    </w:rPr>
                  </w:pPr>
                  <w:r w:rsidRPr="00CC1F51">
                    <w:rPr>
                      <w:rFonts w:ascii="Courier New" w:eastAsia="MS Mincho" w:hAnsi="Courier New" w:cs="Courier New"/>
                      <w:lang w:eastAsia="ja-JP"/>
                    </w:rPr>
                    <w:t>PlayoutDelay</w:t>
                  </w:r>
                  <w:r>
                    <w:rPr>
                      <w:rFonts w:ascii="Courier New" w:hAnsi="Courier New" w:cs="Courier New" w:hint="eastAsia"/>
                      <w:lang w:eastAsia="zh-CN"/>
                    </w:rPr>
                    <w:t>forMediaStartup</w:t>
                  </w:r>
                </w:p>
              </w:tc>
              <w:tc>
                <w:tcPr>
                  <w:tcW w:w="1389" w:type="dxa"/>
                  <w:shd w:val="clear" w:color="auto" w:fill="FFFFFF"/>
                </w:tcPr>
                <w:p w14:paraId="43BA259F" w14:textId="77777777" w:rsidR="000D1E8A" w:rsidRPr="00CC1F51" w:rsidRDefault="000D1E8A" w:rsidP="000D1E8A">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r>
          </w:tbl>
          <w:p w14:paraId="1C7AA431" w14:textId="77777777" w:rsidR="000D1E8A" w:rsidRDefault="000D1E8A" w:rsidP="000D1E8A">
            <w:pPr>
              <w:rPr>
                <w:rFonts w:eastAsiaTheme="minorEastAsia"/>
                <w:lang w:val="en-US" w:eastAsia="zh-CN"/>
              </w:rPr>
            </w:pPr>
          </w:p>
          <w:p w14:paraId="27F9AE90" w14:textId="77777777" w:rsidR="000D1E8A" w:rsidRPr="00975F9F" w:rsidRDefault="000D1E8A" w:rsidP="000D1E8A">
            <w:pPr>
              <w:rPr>
                <w:rFonts w:eastAsiaTheme="minorEastAsia"/>
                <w:lang w:val="en-US" w:eastAsia="zh-CN"/>
              </w:rPr>
            </w:pPr>
          </w:p>
        </w:tc>
        <w:tc>
          <w:tcPr>
            <w:tcW w:w="2065" w:type="dxa"/>
          </w:tcPr>
          <w:p w14:paraId="30AA9E15" w14:textId="77777777" w:rsidR="000D1E8A" w:rsidRDefault="000D1E8A" w:rsidP="000D1E8A">
            <w:pPr>
              <w:contextualSpacing/>
              <w:rPr>
                <w:rFonts w:eastAsiaTheme="minorEastAsia"/>
                <w:lang w:val="en-US" w:eastAsia="zh-CN"/>
              </w:rPr>
            </w:pPr>
            <w:r w:rsidRPr="00B92696">
              <w:rPr>
                <w:rFonts w:eastAsiaTheme="minorEastAsia"/>
                <w:lang w:val="en-US" w:eastAsia="zh-CN"/>
              </w:rPr>
              <w:t>RAN node can leverage this as a time budget to deliver the requested content without video stalling, while, at the same time, not over-allocating the precious radio resources to that service</w:t>
            </w:r>
          </w:p>
        </w:tc>
      </w:tr>
      <w:tr w:rsidR="000D1E8A" w14:paraId="5660577E" w14:textId="77777777" w:rsidTr="00FD7A73">
        <w:tc>
          <w:tcPr>
            <w:tcW w:w="1237" w:type="dxa"/>
            <w:shd w:val="clear" w:color="auto" w:fill="auto"/>
          </w:tcPr>
          <w:p w14:paraId="5ED1B95A" w14:textId="77777777" w:rsidR="000D1E8A" w:rsidRDefault="000D1E8A" w:rsidP="000D1E8A">
            <w:pPr>
              <w:contextualSpacing/>
              <w:rPr>
                <w:rFonts w:eastAsiaTheme="minorEastAsia"/>
                <w:lang w:val="en-US" w:eastAsia="zh-CN"/>
              </w:rPr>
            </w:pPr>
            <w:r w:rsidRPr="006F44C0">
              <w:lastRenderedPageBreak/>
              <w:t>Play List</w:t>
            </w:r>
          </w:p>
        </w:tc>
        <w:tc>
          <w:tcPr>
            <w:tcW w:w="6048" w:type="dxa"/>
          </w:tcPr>
          <w:p w14:paraId="2EC087F0" w14:textId="77777777" w:rsidR="000D1E8A" w:rsidRDefault="000D1E8A" w:rsidP="000D1E8A">
            <w:pPr>
              <w:pStyle w:val="NormalWeb"/>
              <w:spacing w:before="0" w:beforeAutospacing="0" w:after="180" w:afterAutospacing="0"/>
              <w:rPr>
                <w:sz w:val="20"/>
                <w:szCs w:val="20"/>
                <w:lang w:val="en-GB"/>
              </w:rPr>
            </w:pPr>
            <w:r w:rsidRPr="00B27E0D">
              <w:rPr>
                <w:sz w:val="20"/>
                <w:szCs w:val="20"/>
                <w:lang w:val="en-GB"/>
              </w:rPr>
              <w:t>A list of playback periods. A playback period is the time interval between a user action and whichever occurs soonest of the next user action, the end of playback or a failure that stops playback.</w:t>
            </w:r>
          </w:p>
          <w:p w14:paraId="2B2BDEA7" w14:textId="77777777" w:rsidR="000D1E8A" w:rsidRPr="00BA3395" w:rsidRDefault="000D1E8A" w:rsidP="000D1E8A">
            <w:pPr>
              <w:pStyle w:val="TH"/>
            </w:pPr>
            <w:r>
              <w:rPr>
                <w:noProof/>
              </w:rPr>
              <w:drawing>
                <wp:inline distT="0" distB="0" distL="0" distR="0" wp14:anchorId="2FBD1A14" wp14:editId="049E4065">
                  <wp:extent cx="3712210" cy="5797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2210" cy="579755"/>
                          </a:xfrm>
                          <a:prstGeom prst="rect">
                            <a:avLst/>
                          </a:prstGeom>
                          <a:noFill/>
                          <a:ln>
                            <a:noFill/>
                          </a:ln>
                        </pic:spPr>
                      </pic:pic>
                    </a:graphicData>
                  </a:graphic>
                </wp:inline>
              </w:drawing>
            </w:r>
          </w:p>
          <w:p w14:paraId="4D0965B0" w14:textId="77777777" w:rsidR="000D1E8A" w:rsidRPr="00BA3395" w:rsidRDefault="000D1E8A" w:rsidP="000D1E8A">
            <w:pPr>
              <w:pStyle w:val="TF"/>
            </w:pPr>
            <w:r>
              <w:t>Example for Playout</w:t>
            </w:r>
          </w:p>
          <w:p w14:paraId="7C8EF38A" w14:textId="77777777" w:rsidR="000D1E8A" w:rsidRDefault="000D1E8A" w:rsidP="000D1E8A">
            <w:pPr>
              <w:contextualSpacing/>
            </w:pPr>
            <w:r>
              <w:t>- 5 seconds of initial stalling</w:t>
            </w:r>
            <w:r>
              <w:br/>
              <w:t>- 10 seconds playing with representation 1</w:t>
            </w:r>
            <w:r>
              <w:br/>
              <w:t>- 15 seconds of stalling</w:t>
            </w:r>
            <w:r>
              <w:br/>
              <w:t>- 20 seconds playing with representation 2</w:t>
            </w:r>
            <w:r>
              <w:br/>
              <w:t>- 30 seconds playing with representation 1</w:t>
            </w:r>
          </w:p>
          <w:p w14:paraId="1321F6D6" w14:textId="77777777" w:rsidR="000D1E8A" w:rsidRDefault="000D1E8A" w:rsidP="000D1E8A">
            <w:pPr>
              <w:contextualSpacing/>
            </w:pPr>
          </w:p>
          <w:p w14:paraId="19073368" w14:textId="77777777" w:rsidR="000D1E8A" w:rsidRPr="00254FDD" w:rsidRDefault="000D1E8A" w:rsidP="000D1E8A">
            <w:pPr>
              <w:contextualSpacing/>
            </w:pPr>
            <w:r>
              <w:t>In last meeting, a simplified version was also proposed e.g., a</w:t>
            </w:r>
            <w:r w:rsidRPr="005B3657">
              <w:t>n indication from the application to the access stratum whenever the video representation change</w:t>
            </w:r>
            <w:r>
              <w:t>s</w:t>
            </w:r>
            <w:r w:rsidRPr="005B3657">
              <w:t xml:space="preserve"> or the video stalls</w:t>
            </w:r>
          </w:p>
        </w:tc>
        <w:tc>
          <w:tcPr>
            <w:tcW w:w="2065" w:type="dxa"/>
          </w:tcPr>
          <w:p w14:paraId="444BD115" w14:textId="77777777" w:rsidR="000D1E8A" w:rsidRPr="00043D57" w:rsidRDefault="000D1E8A" w:rsidP="000D1E8A">
            <w:pPr>
              <w:contextualSpacing/>
              <w:rPr>
                <w:rFonts w:eastAsiaTheme="minorEastAsia"/>
                <w:lang w:val="en-US" w:eastAsia="zh-CN"/>
              </w:rPr>
            </w:pPr>
            <w:r w:rsidRPr="00043D57">
              <w:rPr>
                <w:rFonts w:eastAsiaTheme="minorEastAsia"/>
                <w:lang w:val="en-US" w:eastAsia="zh-CN"/>
              </w:rPr>
              <w:t xml:space="preserve">Presented video quality and video stalling statistics, can be valuable at RAN for </w:t>
            </w:r>
            <w:r w:rsidRPr="00043D57">
              <w:rPr>
                <w:rFonts w:eastAsiaTheme="minorEastAsia"/>
                <w:b/>
                <w:bCs/>
                <w:lang w:val="en-US" w:eastAsia="zh-CN"/>
              </w:rPr>
              <w:t xml:space="preserve">radio resource partitioning </w:t>
            </w:r>
            <w:r w:rsidRPr="00043D57">
              <w:rPr>
                <w:rFonts w:eastAsiaTheme="minorEastAsia"/>
                <w:lang w:val="en-US" w:eastAsia="zh-CN"/>
              </w:rPr>
              <w:t xml:space="preserve">and </w:t>
            </w:r>
            <w:r w:rsidRPr="00043D57">
              <w:rPr>
                <w:rFonts w:eastAsiaTheme="minorEastAsia"/>
                <w:b/>
                <w:bCs/>
                <w:lang w:val="en-US" w:eastAsia="zh-CN"/>
              </w:rPr>
              <w:t>allocation</w:t>
            </w:r>
            <w:r w:rsidRPr="00043D57">
              <w:rPr>
                <w:rFonts w:eastAsiaTheme="minorEastAsia"/>
                <w:lang w:val="en-US" w:eastAsia="zh-CN"/>
              </w:rPr>
              <w:t xml:space="preserve"> among different users and services</w:t>
            </w:r>
          </w:p>
          <w:p w14:paraId="2BA0E43A" w14:textId="77777777" w:rsidR="000D1E8A" w:rsidRDefault="000D1E8A" w:rsidP="000D1E8A">
            <w:pPr>
              <w:contextualSpacing/>
              <w:rPr>
                <w:rFonts w:eastAsiaTheme="minorEastAsia"/>
                <w:lang w:val="en-US" w:eastAsia="zh-CN"/>
              </w:rPr>
            </w:pPr>
          </w:p>
        </w:tc>
      </w:tr>
      <w:tr w:rsidR="000D1E8A" w14:paraId="094C4488" w14:textId="77777777" w:rsidTr="00FD7A73">
        <w:tc>
          <w:tcPr>
            <w:tcW w:w="1237" w:type="dxa"/>
            <w:shd w:val="clear" w:color="auto" w:fill="auto"/>
          </w:tcPr>
          <w:p w14:paraId="199901D2" w14:textId="626FFD7B" w:rsidR="000D1E8A" w:rsidRPr="006F44C0" w:rsidRDefault="000D1E8A" w:rsidP="000D1E8A">
            <w:pPr>
              <w:contextualSpacing/>
            </w:pPr>
            <w:r>
              <w:t xml:space="preserve">VR </w:t>
            </w:r>
            <w:r w:rsidRPr="00FB04D0">
              <w:t>Interaction latency</w:t>
            </w:r>
          </w:p>
        </w:tc>
        <w:tc>
          <w:tcPr>
            <w:tcW w:w="6048" w:type="dxa"/>
          </w:tcPr>
          <w:p w14:paraId="4921E353" w14:textId="2961DD5D" w:rsidR="000D1E8A" w:rsidRDefault="000D1E8A" w:rsidP="000D1E8A">
            <w:pPr>
              <w:pStyle w:val="NormalWeb"/>
              <w:spacing w:before="0" w:beforeAutospacing="0" w:after="180" w:afterAutospacing="0"/>
              <w:rPr>
                <w:sz w:val="20"/>
                <w:szCs w:val="20"/>
                <w:lang w:val="en-GB"/>
              </w:rPr>
            </w:pPr>
            <w:r>
              <w:rPr>
                <w:sz w:val="20"/>
                <w:szCs w:val="20"/>
                <w:lang w:val="en-GB"/>
              </w:rPr>
              <w:t xml:space="preserve">From TS 26.929, </w:t>
            </w:r>
            <w:r w:rsidRPr="00A062BE">
              <w:rPr>
                <w:sz w:val="20"/>
                <w:szCs w:val="20"/>
                <w:lang w:val="en-GB"/>
              </w:rPr>
              <w:t>VR interaction latency is a key metric to evaluate the VR experience and it varies based on the VR content encoding, packing and delivery technologies, as well as VR device capabilities.</w:t>
            </w:r>
          </w:p>
          <w:p w14:paraId="3A5386B1" w14:textId="307626E7" w:rsidR="000D1E8A" w:rsidRDefault="000D1E8A" w:rsidP="000D1E8A">
            <w:pPr>
              <w:pStyle w:val="NormalWeb"/>
              <w:spacing w:before="0" w:beforeAutospacing="0" w:after="180" w:afterAutospacing="0"/>
              <w:rPr>
                <w:sz w:val="20"/>
                <w:szCs w:val="20"/>
                <w:lang w:val="en-GB"/>
              </w:rPr>
            </w:pPr>
            <w:r w:rsidRPr="00F20D18">
              <w:rPr>
                <w:sz w:val="20"/>
                <w:szCs w:val="20"/>
                <w:lang w:val="en-GB"/>
              </w:rPr>
              <w:t>The latency between user interaction and the corresponding response may involve interaction detection latency, DASH request latency, network delivery latency, receiver re-buffering latency and motion-to-photon latency.</w:t>
            </w:r>
          </w:p>
          <w:p w14:paraId="3FBF3A98" w14:textId="03D69D09" w:rsidR="000D1E8A" w:rsidRDefault="000D1E8A" w:rsidP="000D1E8A">
            <w:pPr>
              <w:pStyle w:val="NormalWeb"/>
              <w:numPr>
                <w:ilvl w:val="0"/>
                <w:numId w:val="43"/>
              </w:numPr>
              <w:spacing w:before="0" w:beforeAutospacing="0" w:after="180" w:afterAutospacing="0"/>
              <w:rPr>
                <w:sz w:val="20"/>
                <w:szCs w:val="20"/>
                <w:lang w:val="en-GB"/>
              </w:rPr>
            </w:pPr>
            <w:r w:rsidRPr="008878C4">
              <w:rPr>
                <w:sz w:val="20"/>
                <w:szCs w:val="20"/>
                <w:lang w:val="en-GB"/>
              </w:rPr>
              <w:t>VR Interaction detection latency</w:t>
            </w:r>
          </w:p>
          <w:p w14:paraId="5B530BDA" w14:textId="7F413C96" w:rsidR="000D1E8A" w:rsidRDefault="000D1E8A" w:rsidP="000D1E8A">
            <w:pPr>
              <w:pStyle w:val="NormalWeb"/>
              <w:numPr>
                <w:ilvl w:val="0"/>
                <w:numId w:val="43"/>
              </w:numPr>
              <w:spacing w:before="0" w:beforeAutospacing="0" w:after="180" w:afterAutospacing="0"/>
              <w:rPr>
                <w:sz w:val="20"/>
                <w:szCs w:val="20"/>
                <w:lang w:val="en-GB"/>
              </w:rPr>
            </w:pPr>
            <w:r w:rsidRPr="00042E1F">
              <w:rPr>
                <w:sz w:val="20"/>
                <w:szCs w:val="20"/>
                <w:lang w:val="en-GB"/>
              </w:rPr>
              <w:t>VR content access latency</w:t>
            </w:r>
          </w:p>
          <w:p w14:paraId="04BE43DA" w14:textId="299E8BF1" w:rsidR="000D1E8A" w:rsidRDefault="000D1E8A" w:rsidP="000D1E8A">
            <w:pPr>
              <w:pStyle w:val="NormalWeb"/>
              <w:numPr>
                <w:ilvl w:val="0"/>
                <w:numId w:val="43"/>
              </w:numPr>
              <w:spacing w:before="0" w:beforeAutospacing="0" w:after="180" w:afterAutospacing="0"/>
              <w:rPr>
                <w:sz w:val="20"/>
                <w:szCs w:val="20"/>
                <w:lang w:val="en-GB"/>
              </w:rPr>
            </w:pPr>
            <w:r w:rsidRPr="00B17B10">
              <w:rPr>
                <w:sz w:val="20"/>
                <w:szCs w:val="20"/>
                <w:lang w:val="en-GB"/>
              </w:rPr>
              <w:t>VR decoding latency</w:t>
            </w:r>
          </w:p>
          <w:p w14:paraId="426B57D2" w14:textId="5F951991" w:rsidR="000D1E8A" w:rsidRDefault="000D1E8A" w:rsidP="000D1E8A">
            <w:pPr>
              <w:pStyle w:val="NormalWeb"/>
              <w:numPr>
                <w:ilvl w:val="0"/>
                <w:numId w:val="43"/>
              </w:numPr>
              <w:spacing w:before="0" w:beforeAutospacing="0" w:after="180" w:afterAutospacing="0"/>
              <w:rPr>
                <w:sz w:val="20"/>
                <w:szCs w:val="20"/>
                <w:lang w:val="en-GB"/>
              </w:rPr>
            </w:pPr>
            <w:r w:rsidRPr="00930A90">
              <w:rPr>
                <w:sz w:val="20"/>
                <w:szCs w:val="20"/>
                <w:lang w:val="en-GB"/>
              </w:rPr>
              <w:t>VR rendering latency</w:t>
            </w:r>
          </w:p>
          <w:p w14:paraId="5A5EA2DD" w14:textId="07E9B7FF" w:rsidR="000D1E8A" w:rsidRDefault="000D1E8A" w:rsidP="000D1E8A">
            <w:pPr>
              <w:pStyle w:val="NormalWeb"/>
              <w:spacing w:before="0" w:beforeAutospacing="0" w:after="180" w:afterAutospacing="0"/>
              <w:rPr>
                <w:sz w:val="20"/>
                <w:szCs w:val="20"/>
                <w:lang w:val="en-GB"/>
              </w:rPr>
            </w:pPr>
            <w:r>
              <w:rPr>
                <w:sz w:val="20"/>
                <w:szCs w:val="20"/>
                <w:lang w:val="en-GB"/>
              </w:rPr>
              <w:t>VR</w:t>
            </w:r>
            <w:r w:rsidRPr="004408F3">
              <w:rPr>
                <w:sz w:val="20"/>
                <w:szCs w:val="20"/>
                <w:lang w:val="en-GB"/>
              </w:rPr>
              <w:t xml:space="preserve"> interaction latency has the same meaning as “</w:t>
            </w:r>
            <w:r w:rsidRPr="00930A90">
              <w:rPr>
                <w:b/>
                <w:bCs/>
                <w:sz w:val="20"/>
                <w:szCs w:val="20"/>
                <w:lang w:val="en-GB"/>
              </w:rPr>
              <w:t>Comparable quality viewport switching latency metric</w:t>
            </w:r>
            <w:r w:rsidRPr="004408F3">
              <w:rPr>
                <w:sz w:val="20"/>
                <w:szCs w:val="20"/>
                <w:lang w:val="en-GB"/>
              </w:rPr>
              <w:t>” in TS 26.118.</w:t>
            </w:r>
          </w:p>
          <w:p w14:paraId="495CE9A8" w14:textId="77777777" w:rsidR="000D1E8A" w:rsidRDefault="000D1E8A" w:rsidP="000D1E8A">
            <w:pPr>
              <w:pStyle w:val="NormalWeb"/>
              <w:spacing w:before="0" w:beforeAutospacing="0" w:after="180" w:afterAutospacing="0"/>
              <w:rPr>
                <w:sz w:val="20"/>
                <w:szCs w:val="20"/>
                <w:lang w:val="en-GB"/>
              </w:rPr>
            </w:pPr>
            <w:r w:rsidRPr="0030513E">
              <w:rPr>
                <w:sz w:val="20"/>
                <w:szCs w:val="20"/>
                <w:lang w:val="en-GB"/>
              </w:rPr>
              <w:t>The comparable quality viewport switching latency metric reports the latency and the quality-related factors when viewport movement causes quality degradations, such as when low-quality background content is briefly shown before the normal higher-quality is restored. Note that this metric is only relevant if the Advanced Video Media profile and region-wise packing is used. Also note that the metric currently does not report factors related to foveated rendering.</w:t>
            </w:r>
          </w:p>
          <w:tbl>
            <w:tblPr>
              <w:tblW w:w="555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
              <w:gridCol w:w="236"/>
              <w:gridCol w:w="389"/>
              <w:gridCol w:w="277"/>
              <w:gridCol w:w="183"/>
              <w:gridCol w:w="53"/>
              <w:gridCol w:w="937"/>
              <w:gridCol w:w="3217"/>
            </w:tblGrid>
            <w:tr w:rsidR="000D1E8A" w:rsidRPr="00FD7A73" w14:paraId="3B3C3074" w14:textId="77777777" w:rsidTr="007F7216">
              <w:trPr>
                <w:cantSplit/>
                <w:trHeight w:val="15"/>
              </w:trPr>
              <w:tc>
                <w:tcPr>
                  <w:tcW w:w="1350" w:type="dxa"/>
                  <w:gridSpan w:val="5"/>
                </w:tcPr>
                <w:p w14:paraId="66F29D4B" w14:textId="77777777" w:rsidR="000D1E8A" w:rsidRPr="00FD7A73" w:rsidRDefault="000D1E8A" w:rsidP="000D1E8A">
                  <w:pPr>
                    <w:spacing w:before="60" w:after="60"/>
                    <w:rPr>
                      <w:rFonts w:ascii="Arial" w:hAnsi="Arial" w:cs="Arial"/>
                      <w:b/>
                      <w:sz w:val="14"/>
                      <w:szCs w:val="14"/>
                    </w:rPr>
                  </w:pPr>
                  <w:r w:rsidRPr="00FD7A73">
                    <w:rPr>
                      <w:rFonts w:ascii="Arial" w:hAnsi="Arial" w:cs="Arial"/>
                      <w:b/>
                      <w:sz w:val="14"/>
                      <w:szCs w:val="14"/>
                    </w:rPr>
                    <w:t>Key</w:t>
                  </w:r>
                </w:p>
              </w:tc>
              <w:tc>
                <w:tcPr>
                  <w:tcW w:w="990" w:type="dxa"/>
                  <w:gridSpan w:val="2"/>
                </w:tcPr>
                <w:p w14:paraId="048931B2" w14:textId="77777777" w:rsidR="000D1E8A" w:rsidRPr="00FD7A73" w:rsidRDefault="000D1E8A" w:rsidP="000D1E8A">
                  <w:pPr>
                    <w:spacing w:before="60" w:after="60"/>
                    <w:rPr>
                      <w:rFonts w:ascii="Arial" w:hAnsi="Arial" w:cs="Arial"/>
                      <w:b/>
                      <w:sz w:val="14"/>
                      <w:szCs w:val="14"/>
                    </w:rPr>
                  </w:pPr>
                  <w:r w:rsidRPr="00FD7A73">
                    <w:rPr>
                      <w:rFonts w:ascii="Arial" w:hAnsi="Arial" w:cs="Arial"/>
                      <w:b/>
                      <w:sz w:val="14"/>
                      <w:szCs w:val="14"/>
                    </w:rPr>
                    <w:t>Type</w:t>
                  </w:r>
                </w:p>
              </w:tc>
              <w:tc>
                <w:tcPr>
                  <w:tcW w:w="3217" w:type="dxa"/>
                  <w:shd w:val="clear" w:color="auto" w:fill="auto"/>
                </w:tcPr>
                <w:p w14:paraId="1E443F46" w14:textId="77777777" w:rsidR="000D1E8A" w:rsidRPr="007F7216" w:rsidRDefault="000D1E8A" w:rsidP="000D1E8A">
                  <w:pPr>
                    <w:spacing w:before="60" w:after="60"/>
                    <w:rPr>
                      <w:rFonts w:ascii="Arial" w:hAnsi="Arial" w:cs="Arial"/>
                      <w:b/>
                      <w:sz w:val="14"/>
                      <w:szCs w:val="14"/>
                    </w:rPr>
                  </w:pPr>
                  <w:r w:rsidRPr="007F7216">
                    <w:rPr>
                      <w:rFonts w:ascii="Arial" w:hAnsi="Arial" w:cs="Arial"/>
                      <w:b/>
                      <w:sz w:val="14"/>
                      <w:szCs w:val="14"/>
                    </w:rPr>
                    <w:t>Description</w:t>
                  </w:r>
                </w:p>
              </w:tc>
            </w:tr>
            <w:tr w:rsidR="000D1E8A" w:rsidRPr="00FD7A73" w14:paraId="36C36EB1" w14:textId="77777777" w:rsidTr="007F7216">
              <w:trPr>
                <w:cantSplit/>
                <w:trHeight w:val="15"/>
              </w:trPr>
              <w:tc>
                <w:tcPr>
                  <w:tcW w:w="1350" w:type="dxa"/>
                  <w:gridSpan w:val="5"/>
                </w:tcPr>
                <w:p w14:paraId="0F1BABAF"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CompQualLatency</w:t>
                  </w:r>
                </w:p>
              </w:tc>
              <w:tc>
                <w:tcPr>
                  <w:tcW w:w="990" w:type="dxa"/>
                  <w:gridSpan w:val="2"/>
                </w:tcPr>
                <w:p w14:paraId="33960E60" w14:textId="77777777" w:rsidR="000D1E8A" w:rsidRPr="00FD7A73" w:rsidRDefault="000D1E8A" w:rsidP="000D1E8A">
                  <w:pPr>
                    <w:spacing w:before="60" w:after="60"/>
                    <w:rPr>
                      <w:rStyle w:val="s2"/>
                      <w:rFonts w:ascii="Courier New" w:eastAsia="SimSun" w:hAnsi="Courier New" w:cs="Courier New"/>
                      <w:sz w:val="14"/>
                      <w:szCs w:val="14"/>
                    </w:rPr>
                  </w:pPr>
                  <w:r w:rsidRPr="00FD7A73">
                    <w:rPr>
                      <w:rFonts w:ascii="Courier New" w:eastAsia="Candara" w:hAnsi="Courier New" w:cs="Courier New"/>
                      <w:noProof/>
                      <w:sz w:val="14"/>
                      <w:szCs w:val="14"/>
                    </w:rPr>
                    <w:t>List</w:t>
                  </w:r>
                </w:p>
              </w:tc>
              <w:tc>
                <w:tcPr>
                  <w:tcW w:w="3217" w:type="dxa"/>
                  <w:shd w:val="clear" w:color="auto" w:fill="auto"/>
                </w:tcPr>
                <w:p w14:paraId="1EB23C63"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List of comparable quality viewport switching latencies</w:t>
                  </w:r>
                </w:p>
              </w:tc>
            </w:tr>
            <w:tr w:rsidR="000D1E8A" w:rsidRPr="00FD7A73" w14:paraId="18CF9663" w14:textId="77777777" w:rsidTr="007F7216">
              <w:trPr>
                <w:cantSplit/>
                <w:trHeight w:val="15"/>
              </w:trPr>
              <w:tc>
                <w:tcPr>
                  <w:tcW w:w="265" w:type="dxa"/>
                  <w:tcBorders>
                    <w:right w:val="single" w:sz="4" w:space="0" w:color="000000"/>
                  </w:tcBorders>
                </w:tcPr>
                <w:p w14:paraId="027A5625" w14:textId="77777777" w:rsidR="000D1E8A" w:rsidRPr="00FD7A73" w:rsidRDefault="000D1E8A" w:rsidP="000D1E8A">
                  <w:pPr>
                    <w:spacing w:before="60" w:after="60"/>
                    <w:rPr>
                      <w:rFonts w:ascii="Courier New" w:hAnsi="Courier New" w:cs="Courier New"/>
                      <w:sz w:val="14"/>
                      <w:szCs w:val="14"/>
                    </w:rPr>
                  </w:pPr>
                </w:p>
              </w:tc>
              <w:tc>
                <w:tcPr>
                  <w:tcW w:w="1085" w:type="dxa"/>
                  <w:gridSpan w:val="4"/>
                </w:tcPr>
                <w:p w14:paraId="2A4774C0" w14:textId="77777777" w:rsidR="000D1E8A" w:rsidRPr="00FD7A73" w:rsidRDefault="000D1E8A" w:rsidP="000D1E8A">
                  <w:pPr>
                    <w:spacing w:before="60" w:after="60"/>
                    <w:rPr>
                      <w:rFonts w:ascii="Courier New" w:hAnsi="Courier New" w:cs="Courier New"/>
                      <w:i/>
                      <w:sz w:val="14"/>
                      <w:szCs w:val="14"/>
                    </w:rPr>
                  </w:pPr>
                  <w:r w:rsidRPr="00FD7A73">
                    <w:rPr>
                      <w:rFonts w:ascii="Courier New" w:hAnsi="Courier New" w:cs="Courier New"/>
                      <w:i/>
                      <w:sz w:val="14"/>
                      <w:szCs w:val="14"/>
                    </w:rPr>
                    <w:t>Entry</w:t>
                  </w:r>
                </w:p>
              </w:tc>
              <w:tc>
                <w:tcPr>
                  <w:tcW w:w="990" w:type="dxa"/>
                  <w:gridSpan w:val="2"/>
                </w:tcPr>
                <w:p w14:paraId="1256C325"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Object</w:t>
                  </w:r>
                </w:p>
              </w:tc>
              <w:tc>
                <w:tcPr>
                  <w:tcW w:w="3217" w:type="dxa"/>
                  <w:shd w:val="clear" w:color="auto" w:fill="auto"/>
                </w:tcPr>
                <w:p w14:paraId="2589214F" w14:textId="77777777" w:rsidR="000D1E8A" w:rsidRPr="007F7216" w:rsidRDefault="000D1E8A" w:rsidP="000D1E8A">
                  <w:pPr>
                    <w:spacing w:before="60" w:after="60"/>
                    <w:rPr>
                      <w:rStyle w:val="s2"/>
                      <w:rFonts w:ascii="Arial" w:eastAsia="SimSun" w:hAnsi="Arial" w:cs="Arial"/>
                      <w:sz w:val="14"/>
                      <w:szCs w:val="14"/>
                    </w:rPr>
                  </w:pPr>
                </w:p>
              </w:tc>
            </w:tr>
            <w:tr w:rsidR="000D1E8A" w:rsidRPr="00FD7A73" w14:paraId="65C12AFE" w14:textId="77777777" w:rsidTr="007F7216">
              <w:trPr>
                <w:cantSplit/>
                <w:trHeight w:val="15"/>
              </w:trPr>
              <w:tc>
                <w:tcPr>
                  <w:tcW w:w="265" w:type="dxa"/>
                  <w:tcBorders>
                    <w:right w:val="single" w:sz="4" w:space="0" w:color="000000"/>
                  </w:tcBorders>
                </w:tcPr>
                <w:p w14:paraId="6EC920C4"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34FAE003"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1770A0A5"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firstViewport</w:t>
                  </w:r>
                </w:p>
              </w:tc>
              <w:tc>
                <w:tcPr>
                  <w:tcW w:w="990" w:type="dxa"/>
                  <w:gridSpan w:val="2"/>
                </w:tcPr>
                <w:p w14:paraId="56CF8D57"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ViewportItem</w:t>
                  </w:r>
                </w:p>
              </w:tc>
              <w:tc>
                <w:tcPr>
                  <w:tcW w:w="3217" w:type="dxa"/>
                  <w:shd w:val="clear" w:color="auto" w:fill="auto"/>
                </w:tcPr>
                <w:p w14:paraId="736E33AB"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 xml:space="preserve">Specifies information about the first viewport  </w:t>
                  </w:r>
                </w:p>
              </w:tc>
            </w:tr>
            <w:tr w:rsidR="000D1E8A" w:rsidRPr="00FD7A73" w14:paraId="2CBB16EC" w14:textId="77777777" w:rsidTr="007F7216">
              <w:trPr>
                <w:cantSplit/>
                <w:trHeight w:val="15"/>
              </w:trPr>
              <w:tc>
                <w:tcPr>
                  <w:tcW w:w="265" w:type="dxa"/>
                  <w:tcBorders>
                    <w:right w:val="single" w:sz="4" w:space="0" w:color="000000"/>
                  </w:tcBorders>
                </w:tcPr>
                <w:p w14:paraId="3E9B467D"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65EBF8AF"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28B03229"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secondViewport</w:t>
                  </w:r>
                </w:p>
              </w:tc>
              <w:tc>
                <w:tcPr>
                  <w:tcW w:w="990" w:type="dxa"/>
                  <w:gridSpan w:val="2"/>
                </w:tcPr>
                <w:p w14:paraId="0A81078B"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ViewportItem</w:t>
                  </w:r>
                </w:p>
              </w:tc>
              <w:tc>
                <w:tcPr>
                  <w:tcW w:w="3217" w:type="dxa"/>
                  <w:shd w:val="clear" w:color="auto" w:fill="auto"/>
                </w:tcPr>
                <w:p w14:paraId="130B1F43"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 xml:space="preserve">Specifies information about the second viewport </w:t>
                  </w:r>
                </w:p>
              </w:tc>
            </w:tr>
            <w:tr w:rsidR="000D1E8A" w:rsidRPr="00FD7A73" w14:paraId="483E5A38" w14:textId="77777777" w:rsidTr="007F7216">
              <w:trPr>
                <w:cantSplit/>
                <w:trHeight w:val="15"/>
              </w:trPr>
              <w:tc>
                <w:tcPr>
                  <w:tcW w:w="265" w:type="dxa"/>
                  <w:tcBorders>
                    <w:right w:val="single" w:sz="4" w:space="0" w:color="000000"/>
                  </w:tcBorders>
                </w:tcPr>
                <w:p w14:paraId="206B1D73"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485583B8"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13AAF380"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worstViewport</w:t>
                  </w:r>
                </w:p>
              </w:tc>
              <w:tc>
                <w:tcPr>
                  <w:tcW w:w="990" w:type="dxa"/>
                  <w:gridSpan w:val="2"/>
                </w:tcPr>
                <w:p w14:paraId="204C3E2F"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ViewportItem</w:t>
                  </w:r>
                </w:p>
              </w:tc>
              <w:tc>
                <w:tcPr>
                  <w:tcW w:w="3217" w:type="dxa"/>
                  <w:shd w:val="clear" w:color="auto" w:fill="auto"/>
                </w:tcPr>
                <w:p w14:paraId="27FA4BE5"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Specifies information about the worst viewport seen during the switch duration</w:t>
                  </w:r>
                </w:p>
              </w:tc>
            </w:tr>
            <w:tr w:rsidR="000D1E8A" w:rsidRPr="00FD7A73" w14:paraId="7791FABB" w14:textId="77777777" w:rsidTr="007F7216">
              <w:trPr>
                <w:cantSplit/>
                <w:trHeight w:val="15"/>
              </w:trPr>
              <w:tc>
                <w:tcPr>
                  <w:tcW w:w="265" w:type="dxa"/>
                  <w:tcBorders>
                    <w:right w:val="single" w:sz="4" w:space="0" w:color="000000"/>
                  </w:tcBorders>
                </w:tcPr>
                <w:p w14:paraId="1B1801DE"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030C6E3B"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0EED72FA"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time</w:t>
                  </w:r>
                </w:p>
              </w:tc>
              <w:tc>
                <w:tcPr>
                  <w:tcW w:w="990" w:type="dxa"/>
                  <w:gridSpan w:val="2"/>
                </w:tcPr>
                <w:p w14:paraId="46609460"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Real-Time</w:t>
                  </w:r>
                </w:p>
              </w:tc>
              <w:tc>
                <w:tcPr>
                  <w:tcW w:w="3217" w:type="dxa"/>
                  <w:shd w:val="clear" w:color="auto" w:fill="auto"/>
                </w:tcPr>
                <w:p w14:paraId="0228F029"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Wall-clock time when the switch started</w:t>
                  </w:r>
                </w:p>
              </w:tc>
            </w:tr>
            <w:tr w:rsidR="000D1E8A" w:rsidRPr="00FD7A73" w14:paraId="06008B11" w14:textId="77777777" w:rsidTr="007F7216">
              <w:trPr>
                <w:cantSplit/>
                <w:trHeight w:val="15"/>
              </w:trPr>
              <w:tc>
                <w:tcPr>
                  <w:tcW w:w="265" w:type="dxa"/>
                  <w:tcBorders>
                    <w:right w:val="single" w:sz="4" w:space="0" w:color="000000"/>
                  </w:tcBorders>
                </w:tcPr>
                <w:p w14:paraId="364CCDB9"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3B7D1171"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4812F0B8"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Mtime</w:t>
                  </w:r>
                </w:p>
              </w:tc>
              <w:tc>
                <w:tcPr>
                  <w:tcW w:w="990" w:type="dxa"/>
                  <w:gridSpan w:val="2"/>
                </w:tcPr>
                <w:p w14:paraId="19A9A66D"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Media-Time</w:t>
                  </w:r>
                </w:p>
              </w:tc>
              <w:tc>
                <w:tcPr>
                  <w:tcW w:w="3217" w:type="dxa"/>
                  <w:shd w:val="clear" w:color="auto" w:fill="auto"/>
                </w:tcPr>
                <w:p w14:paraId="1C626670"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Media presentation time when the switch started.</w:t>
                  </w:r>
                </w:p>
              </w:tc>
            </w:tr>
            <w:tr w:rsidR="000D1E8A" w:rsidRPr="00FD7A73" w14:paraId="36EDA834" w14:textId="77777777" w:rsidTr="007F7216">
              <w:trPr>
                <w:cantSplit/>
                <w:trHeight w:val="15"/>
              </w:trPr>
              <w:tc>
                <w:tcPr>
                  <w:tcW w:w="265" w:type="dxa"/>
                  <w:tcBorders>
                    <w:right w:val="single" w:sz="4" w:space="0" w:color="000000"/>
                  </w:tcBorders>
                </w:tcPr>
                <w:p w14:paraId="5DE3BD60"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04E5008B"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605280DA"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Latency</w:t>
                  </w:r>
                </w:p>
              </w:tc>
              <w:tc>
                <w:tcPr>
                  <w:tcW w:w="990" w:type="dxa"/>
                  <w:gridSpan w:val="2"/>
                </w:tcPr>
                <w:p w14:paraId="5826196A"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Integer</w:t>
                  </w:r>
                </w:p>
              </w:tc>
              <w:tc>
                <w:tcPr>
                  <w:tcW w:w="3217" w:type="dxa"/>
                  <w:shd w:val="clear" w:color="auto" w:fill="auto"/>
                </w:tcPr>
                <w:p w14:paraId="48A9D8C4"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Specifies the switching delay in milliseconds.</w:t>
                  </w:r>
                </w:p>
              </w:tc>
            </w:tr>
            <w:tr w:rsidR="000D1E8A" w:rsidRPr="00FD7A73" w14:paraId="089583E1" w14:textId="77777777" w:rsidTr="007F7216">
              <w:trPr>
                <w:cantSplit/>
                <w:trHeight w:val="15"/>
              </w:trPr>
              <w:tc>
                <w:tcPr>
                  <w:tcW w:w="265" w:type="dxa"/>
                  <w:tcBorders>
                    <w:right w:val="single" w:sz="4" w:space="0" w:color="000000"/>
                  </w:tcBorders>
                </w:tcPr>
                <w:p w14:paraId="565A93ED"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6BE9DE69"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060650E4"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Accuracy</w:t>
                  </w:r>
                </w:p>
              </w:tc>
              <w:tc>
                <w:tcPr>
                  <w:tcW w:w="990" w:type="dxa"/>
                  <w:gridSpan w:val="2"/>
                </w:tcPr>
                <w:p w14:paraId="3B5A004A"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Integer</w:t>
                  </w:r>
                </w:p>
              </w:tc>
              <w:tc>
                <w:tcPr>
                  <w:tcW w:w="3217" w:type="dxa"/>
                  <w:shd w:val="clear" w:color="auto" w:fill="auto"/>
                </w:tcPr>
                <w:p w14:paraId="06C9D8F9" w14:textId="77777777" w:rsidR="000D1E8A" w:rsidRPr="007F7216" w:rsidRDefault="000D1E8A" w:rsidP="000D1E8A">
                  <w:pPr>
                    <w:spacing w:before="60" w:after="60"/>
                    <w:rPr>
                      <w:rStyle w:val="s2"/>
                      <w:rFonts w:ascii="Arial" w:eastAsia="SimSun" w:hAnsi="Arial" w:cs="Arial"/>
                      <w:sz w:val="14"/>
                      <w:szCs w:val="14"/>
                    </w:rPr>
                  </w:pPr>
                  <w:r w:rsidRPr="007F7216">
                    <w:rPr>
                      <w:rStyle w:val="s2"/>
                      <w:rFonts w:ascii="Arial" w:eastAsia="SimSun" w:hAnsi="Arial" w:cs="Arial"/>
                      <w:sz w:val="14"/>
                      <w:szCs w:val="14"/>
                    </w:rPr>
                    <w:t>Specifies the estimated accuracy of the latency metric in milliseconds</w:t>
                  </w:r>
                </w:p>
              </w:tc>
            </w:tr>
            <w:tr w:rsidR="000D1E8A" w:rsidRPr="00FD7A73" w14:paraId="482D3EA0" w14:textId="77777777" w:rsidTr="007F7216">
              <w:trPr>
                <w:cantSplit/>
                <w:trHeight w:val="15"/>
              </w:trPr>
              <w:tc>
                <w:tcPr>
                  <w:tcW w:w="265" w:type="dxa"/>
                  <w:tcBorders>
                    <w:right w:val="single" w:sz="4" w:space="0" w:color="000000"/>
                  </w:tcBorders>
                </w:tcPr>
                <w:p w14:paraId="6AF103C9"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3B2B26F0" w14:textId="77777777" w:rsidR="000D1E8A" w:rsidRPr="00FD7A73" w:rsidRDefault="000D1E8A" w:rsidP="000D1E8A">
                  <w:pPr>
                    <w:spacing w:before="60" w:after="60"/>
                    <w:rPr>
                      <w:rFonts w:ascii="Courier New" w:hAnsi="Courier New" w:cs="Courier New"/>
                      <w:sz w:val="14"/>
                      <w:szCs w:val="14"/>
                    </w:rPr>
                  </w:pPr>
                </w:p>
              </w:tc>
              <w:tc>
                <w:tcPr>
                  <w:tcW w:w="849" w:type="dxa"/>
                  <w:gridSpan w:val="3"/>
                  <w:tcBorders>
                    <w:left w:val="single" w:sz="4" w:space="0" w:color="000000"/>
                  </w:tcBorders>
                </w:tcPr>
                <w:p w14:paraId="018194D7"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Cause</w:t>
                  </w:r>
                </w:p>
              </w:tc>
              <w:tc>
                <w:tcPr>
                  <w:tcW w:w="990" w:type="dxa"/>
                  <w:gridSpan w:val="2"/>
                </w:tcPr>
                <w:p w14:paraId="6337B2CD"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List</w:t>
                  </w:r>
                </w:p>
              </w:tc>
              <w:tc>
                <w:tcPr>
                  <w:tcW w:w="3217" w:type="dxa"/>
                  <w:shd w:val="clear" w:color="auto" w:fill="auto"/>
                </w:tcPr>
                <w:p w14:paraId="6AD3533D" w14:textId="77777777" w:rsidR="000D1E8A" w:rsidRPr="007F7216" w:rsidRDefault="000D1E8A" w:rsidP="000D1E8A">
                  <w:pPr>
                    <w:spacing w:before="60" w:after="60"/>
                    <w:rPr>
                      <w:rStyle w:val="s2"/>
                      <w:rFonts w:ascii="Arial" w:eastAsia="SimSun" w:hAnsi="Arial" w:cs="Arial"/>
                      <w:sz w:val="14"/>
                      <w:szCs w:val="14"/>
                    </w:rPr>
                  </w:pPr>
                  <w:r w:rsidRPr="007F7216">
                    <w:rPr>
                      <w:rFonts w:ascii="Arial" w:hAnsi="Arial" w:cs="Arial"/>
                      <w:sz w:val="14"/>
                      <w:szCs w:val="14"/>
                    </w:rPr>
                    <w:t>Specifies a list of possible causes for the latency.</w:t>
                  </w:r>
                </w:p>
              </w:tc>
            </w:tr>
            <w:tr w:rsidR="000D1E8A" w:rsidRPr="00FD7A73" w14:paraId="7614FA42" w14:textId="77777777" w:rsidTr="007F7216">
              <w:trPr>
                <w:cantSplit/>
                <w:trHeight w:val="15"/>
              </w:trPr>
              <w:tc>
                <w:tcPr>
                  <w:tcW w:w="265" w:type="dxa"/>
                  <w:tcBorders>
                    <w:right w:val="single" w:sz="4" w:space="0" w:color="000000"/>
                  </w:tcBorders>
                </w:tcPr>
                <w:p w14:paraId="0AC85685"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42ABF05A" w14:textId="77777777" w:rsidR="000D1E8A" w:rsidRPr="00FD7A73" w:rsidRDefault="000D1E8A" w:rsidP="000D1E8A">
                  <w:pPr>
                    <w:spacing w:before="60" w:after="60"/>
                    <w:rPr>
                      <w:rFonts w:ascii="Courier New" w:hAnsi="Courier New" w:cs="Courier New"/>
                      <w:sz w:val="14"/>
                      <w:szCs w:val="14"/>
                    </w:rPr>
                  </w:pPr>
                </w:p>
              </w:tc>
              <w:tc>
                <w:tcPr>
                  <w:tcW w:w="389" w:type="dxa"/>
                  <w:tcBorders>
                    <w:left w:val="single" w:sz="4" w:space="0" w:color="000000"/>
                  </w:tcBorders>
                </w:tcPr>
                <w:p w14:paraId="593083D6" w14:textId="77777777" w:rsidR="000D1E8A" w:rsidRPr="00FD7A73" w:rsidRDefault="000D1E8A" w:rsidP="000D1E8A">
                  <w:pPr>
                    <w:spacing w:before="60" w:after="60"/>
                    <w:rPr>
                      <w:rFonts w:ascii="Courier New" w:hAnsi="Courier New" w:cs="Courier New"/>
                      <w:sz w:val="14"/>
                      <w:szCs w:val="14"/>
                    </w:rPr>
                  </w:pPr>
                </w:p>
              </w:tc>
              <w:tc>
                <w:tcPr>
                  <w:tcW w:w="460" w:type="dxa"/>
                  <w:gridSpan w:val="2"/>
                  <w:tcBorders>
                    <w:left w:val="single" w:sz="4" w:space="0" w:color="000000"/>
                  </w:tcBorders>
                </w:tcPr>
                <w:p w14:paraId="353E8C19" w14:textId="77777777" w:rsidR="000D1E8A" w:rsidRPr="00FD7A73" w:rsidRDefault="000D1E8A" w:rsidP="000D1E8A">
                  <w:pPr>
                    <w:spacing w:before="60" w:after="60"/>
                    <w:rPr>
                      <w:rFonts w:ascii="Courier New" w:hAnsi="Courier New" w:cs="Courier New"/>
                      <w:i/>
                      <w:sz w:val="14"/>
                      <w:szCs w:val="14"/>
                    </w:rPr>
                  </w:pPr>
                  <w:r w:rsidRPr="00FD7A73">
                    <w:rPr>
                      <w:rFonts w:ascii="Courier New" w:hAnsi="Courier New" w:cs="Courier New"/>
                      <w:i/>
                      <w:sz w:val="14"/>
                      <w:szCs w:val="14"/>
                    </w:rPr>
                    <w:t>Entry</w:t>
                  </w:r>
                </w:p>
              </w:tc>
              <w:tc>
                <w:tcPr>
                  <w:tcW w:w="990" w:type="dxa"/>
                  <w:gridSpan w:val="2"/>
                </w:tcPr>
                <w:p w14:paraId="3B916F61"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Object</w:t>
                  </w:r>
                </w:p>
              </w:tc>
              <w:tc>
                <w:tcPr>
                  <w:tcW w:w="3217" w:type="dxa"/>
                  <w:shd w:val="clear" w:color="auto" w:fill="auto"/>
                </w:tcPr>
                <w:p w14:paraId="556A9CFA" w14:textId="77777777" w:rsidR="000D1E8A" w:rsidRPr="007F7216" w:rsidRDefault="000D1E8A" w:rsidP="000D1E8A">
                  <w:pPr>
                    <w:spacing w:before="60" w:after="60"/>
                    <w:rPr>
                      <w:rStyle w:val="s2"/>
                      <w:rFonts w:ascii="Arial" w:eastAsia="SimSun" w:hAnsi="Arial" w:cs="Arial"/>
                      <w:sz w:val="14"/>
                      <w:szCs w:val="14"/>
                    </w:rPr>
                  </w:pPr>
                </w:p>
              </w:tc>
            </w:tr>
            <w:tr w:rsidR="000D1E8A" w:rsidRPr="00FD7A73" w14:paraId="5B0F02E3" w14:textId="77777777" w:rsidTr="007F7216">
              <w:trPr>
                <w:cantSplit/>
                <w:trHeight w:val="15"/>
              </w:trPr>
              <w:tc>
                <w:tcPr>
                  <w:tcW w:w="265" w:type="dxa"/>
                  <w:tcBorders>
                    <w:right w:val="single" w:sz="4" w:space="0" w:color="000000"/>
                  </w:tcBorders>
                </w:tcPr>
                <w:p w14:paraId="1DD1B535" w14:textId="77777777" w:rsidR="000D1E8A" w:rsidRPr="00FD7A73" w:rsidRDefault="000D1E8A" w:rsidP="000D1E8A">
                  <w:pPr>
                    <w:spacing w:before="60" w:after="60"/>
                    <w:rPr>
                      <w:rFonts w:ascii="Courier New" w:hAnsi="Courier New" w:cs="Courier New"/>
                      <w:sz w:val="14"/>
                      <w:szCs w:val="14"/>
                    </w:rPr>
                  </w:pPr>
                </w:p>
              </w:tc>
              <w:tc>
                <w:tcPr>
                  <w:tcW w:w="236" w:type="dxa"/>
                  <w:tcBorders>
                    <w:right w:val="single" w:sz="4" w:space="0" w:color="000000"/>
                  </w:tcBorders>
                </w:tcPr>
                <w:p w14:paraId="11217638" w14:textId="77777777" w:rsidR="000D1E8A" w:rsidRPr="00FD7A73" w:rsidRDefault="000D1E8A" w:rsidP="000D1E8A">
                  <w:pPr>
                    <w:spacing w:before="60" w:after="60"/>
                    <w:rPr>
                      <w:rFonts w:ascii="Courier New" w:hAnsi="Courier New" w:cs="Courier New"/>
                      <w:sz w:val="14"/>
                      <w:szCs w:val="14"/>
                    </w:rPr>
                  </w:pPr>
                </w:p>
              </w:tc>
              <w:tc>
                <w:tcPr>
                  <w:tcW w:w="389" w:type="dxa"/>
                  <w:tcBorders>
                    <w:left w:val="single" w:sz="4" w:space="0" w:color="000000"/>
                  </w:tcBorders>
                </w:tcPr>
                <w:p w14:paraId="4BC0EC27" w14:textId="77777777" w:rsidR="000D1E8A" w:rsidRPr="00FD7A73" w:rsidRDefault="000D1E8A" w:rsidP="000D1E8A">
                  <w:pPr>
                    <w:spacing w:before="60" w:after="60"/>
                    <w:rPr>
                      <w:rFonts w:ascii="Courier New" w:hAnsi="Courier New" w:cs="Courier New"/>
                      <w:sz w:val="14"/>
                      <w:szCs w:val="14"/>
                    </w:rPr>
                  </w:pPr>
                </w:p>
              </w:tc>
              <w:tc>
                <w:tcPr>
                  <w:tcW w:w="277" w:type="dxa"/>
                  <w:tcBorders>
                    <w:left w:val="single" w:sz="4" w:space="0" w:color="000000"/>
                  </w:tcBorders>
                </w:tcPr>
                <w:p w14:paraId="43307BA5" w14:textId="77777777" w:rsidR="000D1E8A" w:rsidRPr="00FD7A73" w:rsidRDefault="000D1E8A" w:rsidP="000D1E8A">
                  <w:pPr>
                    <w:spacing w:before="60" w:after="60"/>
                    <w:rPr>
                      <w:rFonts w:ascii="Courier New" w:hAnsi="Courier New" w:cs="Courier New"/>
                      <w:sz w:val="14"/>
                      <w:szCs w:val="14"/>
                    </w:rPr>
                  </w:pPr>
                </w:p>
              </w:tc>
              <w:tc>
                <w:tcPr>
                  <w:tcW w:w="236" w:type="dxa"/>
                  <w:gridSpan w:val="2"/>
                  <w:tcBorders>
                    <w:left w:val="single" w:sz="4" w:space="0" w:color="000000"/>
                  </w:tcBorders>
                </w:tcPr>
                <w:p w14:paraId="36043CDD"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code</w:t>
                  </w:r>
                </w:p>
              </w:tc>
              <w:tc>
                <w:tcPr>
                  <w:tcW w:w="937" w:type="dxa"/>
                </w:tcPr>
                <w:p w14:paraId="5B9FAE8B" w14:textId="77777777" w:rsidR="000D1E8A" w:rsidRPr="00FD7A73" w:rsidRDefault="000D1E8A" w:rsidP="000D1E8A">
                  <w:pPr>
                    <w:spacing w:before="60" w:after="60"/>
                    <w:rPr>
                      <w:rFonts w:ascii="Courier New" w:hAnsi="Courier New" w:cs="Courier New"/>
                      <w:sz w:val="14"/>
                      <w:szCs w:val="14"/>
                    </w:rPr>
                  </w:pPr>
                  <w:r w:rsidRPr="00FD7A73">
                    <w:rPr>
                      <w:rFonts w:ascii="Courier New" w:hAnsi="Courier New" w:cs="Courier New"/>
                      <w:sz w:val="14"/>
                      <w:szCs w:val="14"/>
                    </w:rPr>
                    <w:t>Enum</w:t>
                  </w:r>
                </w:p>
              </w:tc>
              <w:tc>
                <w:tcPr>
                  <w:tcW w:w="3217" w:type="dxa"/>
                  <w:shd w:val="clear" w:color="auto" w:fill="auto"/>
                </w:tcPr>
                <w:p w14:paraId="17F7F68C" w14:textId="77777777" w:rsidR="000D1E8A" w:rsidRPr="007F7216" w:rsidRDefault="000D1E8A" w:rsidP="000D1E8A">
                  <w:pPr>
                    <w:spacing w:before="60" w:after="60"/>
                    <w:rPr>
                      <w:rFonts w:ascii="Arial" w:hAnsi="Arial" w:cs="Arial"/>
                      <w:sz w:val="14"/>
                      <w:szCs w:val="14"/>
                    </w:rPr>
                  </w:pPr>
                  <w:r w:rsidRPr="007F7216">
                    <w:rPr>
                      <w:rFonts w:ascii="Arial" w:hAnsi="Arial" w:cs="Arial"/>
                      <w:sz w:val="14"/>
                      <w:szCs w:val="14"/>
                    </w:rPr>
                    <w:t>A possible cause for the latency. The value is equal to one of the following:</w:t>
                  </w:r>
                </w:p>
                <w:p w14:paraId="1EBA097D" w14:textId="77777777" w:rsidR="000D1E8A" w:rsidRPr="007F7216" w:rsidRDefault="000D1E8A" w:rsidP="000D1E8A">
                  <w:pPr>
                    <w:spacing w:before="60" w:after="60"/>
                    <w:rPr>
                      <w:rFonts w:ascii="Arial" w:hAnsi="Arial" w:cs="Arial"/>
                      <w:sz w:val="14"/>
                      <w:szCs w:val="14"/>
                    </w:rPr>
                  </w:pPr>
                  <w:r w:rsidRPr="007F7216">
                    <w:rPr>
                      <w:rFonts w:ascii="Arial" w:hAnsi="Arial" w:cs="Arial"/>
                      <w:sz w:val="14"/>
                      <w:szCs w:val="14"/>
                    </w:rPr>
                    <w:t>- 0: Segment duration</w:t>
                  </w:r>
                </w:p>
                <w:p w14:paraId="620AD5D4" w14:textId="77777777" w:rsidR="000D1E8A" w:rsidRPr="007F7216" w:rsidRDefault="000D1E8A" w:rsidP="000D1E8A">
                  <w:pPr>
                    <w:spacing w:before="60" w:after="60"/>
                    <w:rPr>
                      <w:rFonts w:ascii="Arial" w:hAnsi="Arial" w:cs="Arial"/>
                      <w:sz w:val="14"/>
                      <w:szCs w:val="14"/>
                    </w:rPr>
                  </w:pPr>
                  <w:r w:rsidRPr="007F7216">
                    <w:rPr>
                      <w:rFonts w:ascii="Arial" w:hAnsi="Arial" w:cs="Arial"/>
                      <w:sz w:val="14"/>
                      <w:szCs w:val="14"/>
                    </w:rPr>
                    <w:t>- 1: Buffer fullness</w:t>
                  </w:r>
                </w:p>
                <w:p w14:paraId="54BA028D" w14:textId="77777777" w:rsidR="000D1E8A" w:rsidRPr="007F7216" w:rsidRDefault="000D1E8A" w:rsidP="000D1E8A">
                  <w:pPr>
                    <w:spacing w:before="60" w:after="60"/>
                    <w:rPr>
                      <w:rFonts w:ascii="Arial" w:hAnsi="Arial" w:cs="Arial"/>
                      <w:sz w:val="14"/>
                      <w:szCs w:val="14"/>
                    </w:rPr>
                  </w:pPr>
                  <w:r w:rsidRPr="007F7216">
                    <w:rPr>
                      <w:rFonts w:ascii="Arial" w:hAnsi="Arial" w:cs="Arial"/>
                      <w:sz w:val="14"/>
                      <w:szCs w:val="14"/>
                    </w:rPr>
                    <w:t>- 2: Availability of comparable quality segment</w:t>
                  </w:r>
                </w:p>
                <w:p w14:paraId="7F00C192" w14:textId="77777777" w:rsidR="000D1E8A" w:rsidRPr="007F7216" w:rsidRDefault="000D1E8A" w:rsidP="000D1E8A">
                  <w:pPr>
                    <w:spacing w:before="60" w:after="60"/>
                    <w:rPr>
                      <w:rFonts w:ascii="Arial" w:hAnsi="Arial" w:cs="Arial"/>
                      <w:sz w:val="14"/>
                      <w:szCs w:val="14"/>
                    </w:rPr>
                  </w:pPr>
                  <w:r w:rsidRPr="007F7216">
                    <w:rPr>
                      <w:rFonts w:ascii="Arial" w:hAnsi="Arial" w:cs="Arial"/>
                      <w:sz w:val="14"/>
                      <w:szCs w:val="14"/>
                    </w:rPr>
                    <w:t>- 3: Timeout</w:t>
                  </w:r>
                </w:p>
              </w:tc>
            </w:tr>
          </w:tbl>
          <w:p w14:paraId="1DE78373" w14:textId="4445EB33" w:rsidR="000D1E8A" w:rsidRPr="00B27E0D" w:rsidRDefault="000D1E8A" w:rsidP="000D1E8A">
            <w:pPr>
              <w:pStyle w:val="NormalWeb"/>
              <w:spacing w:before="0" w:beforeAutospacing="0" w:after="180" w:afterAutospacing="0"/>
              <w:rPr>
                <w:sz w:val="20"/>
                <w:szCs w:val="20"/>
                <w:lang w:val="en-GB"/>
              </w:rPr>
            </w:pPr>
          </w:p>
        </w:tc>
        <w:tc>
          <w:tcPr>
            <w:tcW w:w="2065" w:type="dxa"/>
          </w:tcPr>
          <w:p w14:paraId="55AA820E" w14:textId="77777777" w:rsidR="000D1E8A" w:rsidRPr="00043D57" w:rsidRDefault="000D1E8A" w:rsidP="000D1E8A">
            <w:pPr>
              <w:contextualSpacing/>
              <w:rPr>
                <w:rFonts w:eastAsiaTheme="minorEastAsia"/>
                <w:lang w:val="en-US" w:eastAsia="zh-CN"/>
              </w:rPr>
            </w:pPr>
          </w:p>
        </w:tc>
      </w:tr>
      <w:tr w:rsidR="000D1E8A" w14:paraId="53CFF74A" w14:textId="77777777" w:rsidTr="00FD7A73">
        <w:tc>
          <w:tcPr>
            <w:tcW w:w="1237" w:type="dxa"/>
            <w:shd w:val="clear" w:color="auto" w:fill="auto"/>
          </w:tcPr>
          <w:p w14:paraId="5CB48E92" w14:textId="3B11EADF" w:rsidR="000D1E8A" w:rsidRPr="00FB04D0" w:rsidRDefault="000D1E8A" w:rsidP="000D1E8A">
            <w:pPr>
              <w:contextualSpacing/>
            </w:pPr>
          </w:p>
        </w:tc>
        <w:tc>
          <w:tcPr>
            <w:tcW w:w="6048" w:type="dxa"/>
          </w:tcPr>
          <w:p w14:paraId="15CE5E12" w14:textId="51CE5EC4" w:rsidR="000D1E8A" w:rsidRDefault="000D1E8A" w:rsidP="000D1E8A">
            <w:pPr>
              <w:contextualSpacing/>
            </w:pPr>
          </w:p>
        </w:tc>
        <w:tc>
          <w:tcPr>
            <w:tcW w:w="2065" w:type="dxa"/>
          </w:tcPr>
          <w:p w14:paraId="28FB82A7" w14:textId="77777777" w:rsidR="000D1E8A" w:rsidRPr="00043D57" w:rsidRDefault="000D1E8A" w:rsidP="000D1E8A">
            <w:pPr>
              <w:contextualSpacing/>
              <w:rPr>
                <w:rFonts w:eastAsiaTheme="minorEastAsia"/>
                <w:lang w:val="en-US" w:eastAsia="zh-CN"/>
              </w:rPr>
            </w:pPr>
          </w:p>
        </w:tc>
      </w:tr>
    </w:tbl>
    <w:p w14:paraId="426D3B95" w14:textId="77777777" w:rsidR="00B953BC" w:rsidRPr="00B953BC" w:rsidRDefault="00B953BC" w:rsidP="00B953BC"/>
    <w:p w14:paraId="21A4B2B8" w14:textId="77777777" w:rsidR="00B953BC" w:rsidRPr="001062CC" w:rsidRDefault="00B953BC" w:rsidP="00385912"/>
    <w:sectPr w:rsidR="00B953BC" w:rsidRPr="001062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39DCD" w14:textId="77777777" w:rsidR="009E716C" w:rsidRDefault="009E716C" w:rsidP="00390267">
      <w:pPr>
        <w:spacing w:after="0"/>
      </w:pPr>
      <w:r>
        <w:separator/>
      </w:r>
    </w:p>
  </w:endnote>
  <w:endnote w:type="continuationSeparator" w:id="0">
    <w:p w14:paraId="6C1453D5" w14:textId="77777777" w:rsidR="009E716C" w:rsidRDefault="009E716C" w:rsidP="00390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2C586" w14:textId="77777777" w:rsidR="009E716C" w:rsidRDefault="009E716C" w:rsidP="00390267">
      <w:pPr>
        <w:spacing w:after="0"/>
      </w:pPr>
      <w:r>
        <w:separator/>
      </w:r>
    </w:p>
  </w:footnote>
  <w:footnote w:type="continuationSeparator" w:id="0">
    <w:p w14:paraId="1BF236CB" w14:textId="77777777" w:rsidR="009E716C" w:rsidRDefault="009E716C" w:rsidP="003902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D65"/>
    <w:multiLevelType w:val="hybridMultilevel"/>
    <w:tmpl w:val="BA5CDB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95578"/>
    <w:multiLevelType w:val="multilevel"/>
    <w:tmpl w:val="01A95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8027FF"/>
    <w:multiLevelType w:val="hybridMultilevel"/>
    <w:tmpl w:val="15A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A46DF"/>
    <w:multiLevelType w:val="hybridMultilevel"/>
    <w:tmpl w:val="53E25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05F91"/>
    <w:multiLevelType w:val="multilevel"/>
    <w:tmpl w:val="007ACA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830BAD"/>
    <w:multiLevelType w:val="hybridMultilevel"/>
    <w:tmpl w:val="FF2CE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D0E61"/>
    <w:multiLevelType w:val="multilevel"/>
    <w:tmpl w:val="B79E9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326A54"/>
    <w:multiLevelType w:val="multilevel"/>
    <w:tmpl w:val="BE3EDCE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3B87C1B"/>
    <w:multiLevelType w:val="hybridMultilevel"/>
    <w:tmpl w:val="ED3E1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77E534C"/>
    <w:multiLevelType w:val="hybridMultilevel"/>
    <w:tmpl w:val="A22A994A"/>
    <w:lvl w:ilvl="0" w:tplc="4FBE9634">
      <w:start w:val="1"/>
      <w:numFmt w:val="bullet"/>
      <w:lvlText w:val="–"/>
      <w:lvlJc w:val="left"/>
      <w:pPr>
        <w:tabs>
          <w:tab w:val="num" w:pos="360"/>
        </w:tabs>
        <w:ind w:left="360" w:hanging="360"/>
      </w:pPr>
      <w:rPr>
        <w:rFonts w:ascii="Times New Roman" w:hAnsi="Times New Roman" w:hint="default"/>
      </w:rPr>
    </w:lvl>
    <w:lvl w:ilvl="1" w:tplc="D0283BB6">
      <w:start w:val="1"/>
      <w:numFmt w:val="bullet"/>
      <w:lvlText w:val="–"/>
      <w:lvlJc w:val="left"/>
      <w:pPr>
        <w:tabs>
          <w:tab w:val="num" w:pos="1080"/>
        </w:tabs>
        <w:ind w:left="1080" w:hanging="360"/>
      </w:pPr>
      <w:rPr>
        <w:rFonts w:ascii="Times New Roman" w:hAnsi="Times New Roman" w:hint="default"/>
      </w:rPr>
    </w:lvl>
    <w:lvl w:ilvl="2" w:tplc="0D44312A">
      <w:numFmt w:val="bullet"/>
      <w:lvlText w:val="•"/>
      <w:lvlJc w:val="left"/>
      <w:pPr>
        <w:tabs>
          <w:tab w:val="num" w:pos="1800"/>
        </w:tabs>
        <w:ind w:left="1800" w:hanging="360"/>
      </w:pPr>
      <w:rPr>
        <w:rFonts w:ascii="Times New Roman" w:hAnsi="Times New Roman" w:hint="default"/>
      </w:rPr>
    </w:lvl>
    <w:lvl w:ilvl="3" w:tplc="97FAFE74" w:tentative="1">
      <w:start w:val="1"/>
      <w:numFmt w:val="bullet"/>
      <w:lvlText w:val="–"/>
      <w:lvlJc w:val="left"/>
      <w:pPr>
        <w:tabs>
          <w:tab w:val="num" w:pos="2520"/>
        </w:tabs>
        <w:ind w:left="2520" w:hanging="360"/>
      </w:pPr>
      <w:rPr>
        <w:rFonts w:ascii="Times New Roman" w:hAnsi="Times New Roman" w:hint="default"/>
      </w:rPr>
    </w:lvl>
    <w:lvl w:ilvl="4" w:tplc="3F7AB7B0" w:tentative="1">
      <w:start w:val="1"/>
      <w:numFmt w:val="bullet"/>
      <w:lvlText w:val="–"/>
      <w:lvlJc w:val="left"/>
      <w:pPr>
        <w:tabs>
          <w:tab w:val="num" w:pos="3240"/>
        </w:tabs>
        <w:ind w:left="3240" w:hanging="360"/>
      </w:pPr>
      <w:rPr>
        <w:rFonts w:ascii="Times New Roman" w:hAnsi="Times New Roman" w:hint="default"/>
      </w:rPr>
    </w:lvl>
    <w:lvl w:ilvl="5" w:tplc="625C0092" w:tentative="1">
      <w:start w:val="1"/>
      <w:numFmt w:val="bullet"/>
      <w:lvlText w:val="–"/>
      <w:lvlJc w:val="left"/>
      <w:pPr>
        <w:tabs>
          <w:tab w:val="num" w:pos="3960"/>
        </w:tabs>
        <w:ind w:left="3960" w:hanging="360"/>
      </w:pPr>
      <w:rPr>
        <w:rFonts w:ascii="Times New Roman" w:hAnsi="Times New Roman" w:hint="default"/>
      </w:rPr>
    </w:lvl>
    <w:lvl w:ilvl="6" w:tplc="19CAB116" w:tentative="1">
      <w:start w:val="1"/>
      <w:numFmt w:val="bullet"/>
      <w:lvlText w:val="–"/>
      <w:lvlJc w:val="left"/>
      <w:pPr>
        <w:tabs>
          <w:tab w:val="num" w:pos="4680"/>
        </w:tabs>
        <w:ind w:left="4680" w:hanging="360"/>
      </w:pPr>
      <w:rPr>
        <w:rFonts w:ascii="Times New Roman" w:hAnsi="Times New Roman" w:hint="default"/>
      </w:rPr>
    </w:lvl>
    <w:lvl w:ilvl="7" w:tplc="26B42D08" w:tentative="1">
      <w:start w:val="1"/>
      <w:numFmt w:val="bullet"/>
      <w:lvlText w:val="–"/>
      <w:lvlJc w:val="left"/>
      <w:pPr>
        <w:tabs>
          <w:tab w:val="num" w:pos="5400"/>
        </w:tabs>
        <w:ind w:left="5400" w:hanging="360"/>
      </w:pPr>
      <w:rPr>
        <w:rFonts w:ascii="Times New Roman" w:hAnsi="Times New Roman" w:hint="default"/>
      </w:rPr>
    </w:lvl>
    <w:lvl w:ilvl="8" w:tplc="0E86AA6E"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291A102D"/>
    <w:multiLevelType w:val="hybridMultilevel"/>
    <w:tmpl w:val="02C4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65A5A"/>
    <w:multiLevelType w:val="hybridMultilevel"/>
    <w:tmpl w:val="F1607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713C6F"/>
    <w:multiLevelType w:val="hybridMultilevel"/>
    <w:tmpl w:val="3AB0C5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1908A5"/>
    <w:multiLevelType w:val="hybridMultilevel"/>
    <w:tmpl w:val="94482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41071"/>
    <w:multiLevelType w:val="hybridMultilevel"/>
    <w:tmpl w:val="FBA0A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E02CB"/>
    <w:multiLevelType w:val="hybridMultilevel"/>
    <w:tmpl w:val="949C9882"/>
    <w:lvl w:ilvl="0" w:tplc="41AA752C">
      <w:start w:val="1"/>
      <w:numFmt w:val="bullet"/>
      <w:lvlText w:val="–"/>
      <w:lvlJc w:val="left"/>
      <w:pPr>
        <w:tabs>
          <w:tab w:val="num" w:pos="720"/>
        </w:tabs>
        <w:ind w:left="720" w:hanging="360"/>
      </w:pPr>
      <w:rPr>
        <w:rFonts w:ascii="Times New Roman" w:hAnsi="Times New Roman" w:hint="default"/>
      </w:rPr>
    </w:lvl>
    <w:lvl w:ilvl="1" w:tplc="AF20D35C">
      <w:start w:val="1"/>
      <w:numFmt w:val="bullet"/>
      <w:lvlText w:val="–"/>
      <w:lvlJc w:val="left"/>
      <w:pPr>
        <w:tabs>
          <w:tab w:val="num" w:pos="1440"/>
        </w:tabs>
        <w:ind w:left="1440" w:hanging="360"/>
      </w:pPr>
      <w:rPr>
        <w:rFonts w:ascii="Times New Roman" w:hAnsi="Times New Roman" w:hint="default"/>
      </w:rPr>
    </w:lvl>
    <w:lvl w:ilvl="2" w:tplc="26840028">
      <w:numFmt w:val="bullet"/>
      <w:lvlText w:val="•"/>
      <w:lvlJc w:val="left"/>
      <w:pPr>
        <w:tabs>
          <w:tab w:val="num" w:pos="2160"/>
        </w:tabs>
        <w:ind w:left="2160" w:hanging="360"/>
      </w:pPr>
      <w:rPr>
        <w:rFonts w:ascii="Times New Roman" w:hAnsi="Times New Roman" w:hint="default"/>
      </w:rPr>
    </w:lvl>
    <w:lvl w:ilvl="3" w:tplc="4E4C0C4E" w:tentative="1">
      <w:start w:val="1"/>
      <w:numFmt w:val="bullet"/>
      <w:lvlText w:val="–"/>
      <w:lvlJc w:val="left"/>
      <w:pPr>
        <w:tabs>
          <w:tab w:val="num" w:pos="2880"/>
        </w:tabs>
        <w:ind w:left="2880" w:hanging="360"/>
      </w:pPr>
      <w:rPr>
        <w:rFonts w:ascii="Times New Roman" w:hAnsi="Times New Roman" w:hint="default"/>
      </w:rPr>
    </w:lvl>
    <w:lvl w:ilvl="4" w:tplc="7822382E" w:tentative="1">
      <w:start w:val="1"/>
      <w:numFmt w:val="bullet"/>
      <w:lvlText w:val="–"/>
      <w:lvlJc w:val="left"/>
      <w:pPr>
        <w:tabs>
          <w:tab w:val="num" w:pos="3600"/>
        </w:tabs>
        <w:ind w:left="3600" w:hanging="360"/>
      </w:pPr>
      <w:rPr>
        <w:rFonts w:ascii="Times New Roman" w:hAnsi="Times New Roman" w:hint="default"/>
      </w:rPr>
    </w:lvl>
    <w:lvl w:ilvl="5" w:tplc="A3688020" w:tentative="1">
      <w:start w:val="1"/>
      <w:numFmt w:val="bullet"/>
      <w:lvlText w:val="–"/>
      <w:lvlJc w:val="left"/>
      <w:pPr>
        <w:tabs>
          <w:tab w:val="num" w:pos="4320"/>
        </w:tabs>
        <w:ind w:left="4320" w:hanging="360"/>
      </w:pPr>
      <w:rPr>
        <w:rFonts w:ascii="Times New Roman" w:hAnsi="Times New Roman" w:hint="default"/>
      </w:rPr>
    </w:lvl>
    <w:lvl w:ilvl="6" w:tplc="F33A84C2" w:tentative="1">
      <w:start w:val="1"/>
      <w:numFmt w:val="bullet"/>
      <w:lvlText w:val="–"/>
      <w:lvlJc w:val="left"/>
      <w:pPr>
        <w:tabs>
          <w:tab w:val="num" w:pos="5040"/>
        </w:tabs>
        <w:ind w:left="5040" w:hanging="360"/>
      </w:pPr>
      <w:rPr>
        <w:rFonts w:ascii="Times New Roman" w:hAnsi="Times New Roman" w:hint="default"/>
      </w:rPr>
    </w:lvl>
    <w:lvl w:ilvl="7" w:tplc="653E6A90" w:tentative="1">
      <w:start w:val="1"/>
      <w:numFmt w:val="bullet"/>
      <w:lvlText w:val="–"/>
      <w:lvlJc w:val="left"/>
      <w:pPr>
        <w:tabs>
          <w:tab w:val="num" w:pos="5760"/>
        </w:tabs>
        <w:ind w:left="5760" w:hanging="360"/>
      </w:pPr>
      <w:rPr>
        <w:rFonts w:ascii="Times New Roman" w:hAnsi="Times New Roman" w:hint="default"/>
      </w:rPr>
    </w:lvl>
    <w:lvl w:ilvl="8" w:tplc="AE543AB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C704526"/>
    <w:multiLevelType w:val="hybridMultilevel"/>
    <w:tmpl w:val="E80CB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9" w15:restartNumberingAfterBreak="0">
    <w:nsid w:val="48E422B7"/>
    <w:multiLevelType w:val="multilevel"/>
    <w:tmpl w:val="48E422B7"/>
    <w:lvl w:ilvl="0">
      <w:numFmt w:val="bullet"/>
      <w:lvlText w:val="-"/>
      <w:lvlJc w:val="left"/>
      <w:pPr>
        <w:ind w:left="560" w:hanging="360"/>
      </w:pPr>
      <w:rPr>
        <w:rFonts w:ascii="Times New Roman" w:eastAsia="Malgun Gothic"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49440453"/>
    <w:multiLevelType w:val="hybridMultilevel"/>
    <w:tmpl w:val="449A1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030FD9"/>
    <w:multiLevelType w:val="hybridMultilevel"/>
    <w:tmpl w:val="7C5EC04A"/>
    <w:lvl w:ilvl="0" w:tplc="04090001">
      <w:start w:val="1"/>
      <w:numFmt w:val="bullet"/>
      <w:lvlText w:val=""/>
      <w:lvlJc w:val="left"/>
      <w:pPr>
        <w:ind w:left="720" w:hanging="360"/>
      </w:pPr>
      <w:rPr>
        <w:rFonts w:ascii="Symbol" w:hAnsi="Symbol" w:hint="default"/>
      </w:rPr>
    </w:lvl>
    <w:lvl w:ilvl="1" w:tplc="578E50BE">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239B8"/>
    <w:multiLevelType w:val="hybridMultilevel"/>
    <w:tmpl w:val="12CA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62AA1"/>
    <w:multiLevelType w:val="hybridMultilevel"/>
    <w:tmpl w:val="58F629DA"/>
    <w:lvl w:ilvl="0" w:tplc="14708C60">
      <w:start w:val="1"/>
      <w:numFmt w:val="bullet"/>
      <w:lvlText w:val="•"/>
      <w:lvlJc w:val="left"/>
      <w:pPr>
        <w:tabs>
          <w:tab w:val="num" w:pos="360"/>
        </w:tabs>
        <w:ind w:left="360" w:hanging="360"/>
      </w:pPr>
      <w:rPr>
        <w:rFonts w:ascii="Times New Roman" w:hAnsi="Times New Roman" w:hint="default"/>
      </w:rPr>
    </w:lvl>
    <w:lvl w:ilvl="1" w:tplc="A8EE5F06">
      <w:start w:val="1"/>
      <w:numFmt w:val="bullet"/>
      <w:lvlText w:val="•"/>
      <w:lvlJc w:val="left"/>
      <w:pPr>
        <w:tabs>
          <w:tab w:val="num" w:pos="1080"/>
        </w:tabs>
        <w:ind w:left="1080" w:hanging="360"/>
      </w:pPr>
      <w:rPr>
        <w:rFonts w:ascii="Times New Roman" w:hAnsi="Times New Roman" w:hint="default"/>
      </w:rPr>
    </w:lvl>
    <w:lvl w:ilvl="2" w:tplc="E878FC10">
      <w:start w:val="1"/>
      <w:numFmt w:val="bullet"/>
      <w:lvlText w:val="•"/>
      <w:lvlJc w:val="left"/>
      <w:pPr>
        <w:tabs>
          <w:tab w:val="num" w:pos="1800"/>
        </w:tabs>
        <w:ind w:left="1800" w:hanging="360"/>
      </w:pPr>
      <w:rPr>
        <w:rFonts w:ascii="Times New Roman" w:hAnsi="Times New Roman" w:hint="default"/>
      </w:rPr>
    </w:lvl>
    <w:lvl w:ilvl="3" w:tplc="8284693C">
      <w:numFmt w:val="bullet"/>
      <w:lvlText w:val="–"/>
      <w:lvlJc w:val="left"/>
      <w:pPr>
        <w:tabs>
          <w:tab w:val="num" w:pos="2520"/>
        </w:tabs>
        <w:ind w:left="2520" w:hanging="360"/>
      </w:pPr>
      <w:rPr>
        <w:rFonts w:ascii="Times New Roman" w:hAnsi="Times New Roman" w:hint="default"/>
      </w:rPr>
    </w:lvl>
    <w:lvl w:ilvl="4" w:tplc="C376FB44" w:tentative="1">
      <w:start w:val="1"/>
      <w:numFmt w:val="bullet"/>
      <w:lvlText w:val="•"/>
      <w:lvlJc w:val="left"/>
      <w:pPr>
        <w:tabs>
          <w:tab w:val="num" w:pos="3240"/>
        </w:tabs>
        <w:ind w:left="3240" w:hanging="360"/>
      </w:pPr>
      <w:rPr>
        <w:rFonts w:ascii="Times New Roman" w:hAnsi="Times New Roman" w:hint="default"/>
      </w:rPr>
    </w:lvl>
    <w:lvl w:ilvl="5" w:tplc="E1948BD2" w:tentative="1">
      <w:start w:val="1"/>
      <w:numFmt w:val="bullet"/>
      <w:lvlText w:val="•"/>
      <w:lvlJc w:val="left"/>
      <w:pPr>
        <w:tabs>
          <w:tab w:val="num" w:pos="3960"/>
        </w:tabs>
        <w:ind w:left="3960" w:hanging="360"/>
      </w:pPr>
      <w:rPr>
        <w:rFonts w:ascii="Times New Roman" w:hAnsi="Times New Roman" w:hint="default"/>
      </w:rPr>
    </w:lvl>
    <w:lvl w:ilvl="6" w:tplc="72BADA00" w:tentative="1">
      <w:start w:val="1"/>
      <w:numFmt w:val="bullet"/>
      <w:lvlText w:val="•"/>
      <w:lvlJc w:val="left"/>
      <w:pPr>
        <w:tabs>
          <w:tab w:val="num" w:pos="4680"/>
        </w:tabs>
        <w:ind w:left="4680" w:hanging="360"/>
      </w:pPr>
      <w:rPr>
        <w:rFonts w:ascii="Times New Roman" w:hAnsi="Times New Roman" w:hint="default"/>
      </w:rPr>
    </w:lvl>
    <w:lvl w:ilvl="7" w:tplc="AB069D0E" w:tentative="1">
      <w:start w:val="1"/>
      <w:numFmt w:val="bullet"/>
      <w:lvlText w:val="•"/>
      <w:lvlJc w:val="left"/>
      <w:pPr>
        <w:tabs>
          <w:tab w:val="num" w:pos="5400"/>
        </w:tabs>
        <w:ind w:left="5400" w:hanging="360"/>
      </w:pPr>
      <w:rPr>
        <w:rFonts w:ascii="Times New Roman" w:hAnsi="Times New Roman" w:hint="default"/>
      </w:rPr>
    </w:lvl>
    <w:lvl w:ilvl="8" w:tplc="949E016A"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53DD1D69"/>
    <w:multiLevelType w:val="hybridMultilevel"/>
    <w:tmpl w:val="E778A1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776007A"/>
    <w:multiLevelType w:val="hybridMultilevel"/>
    <w:tmpl w:val="E410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4520DD"/>
    <w:multiLevelType w:val="hybridMultilevel"/>
    <w:tmpl w:val="CB840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15DA3"/>
    <w:multiLevelType w:val="hybridMultilevel"/>
    <w:tmpl w:val="FF2CE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11718C"/>
    <w:multiLevelType w:val="hybridMultilevel"/>
    <w:tmpl w:val="4EEA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C37E1"/>
    <w:multiLevelType w:val="hybridMultilevel"/>
    <w:tmpl w:val="E1A64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33A94"/>
    <w:multiLevelType w:val="hybridMultilevel"/>
    <w:tmpl w:val="1DD0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7B3983"/>
    <w:multiLevelType w:val="hybridMultilevel"/>
    <w:tmpl w:val="3ADEB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2D43CF"/>
    <w:multiLevelType w:val="hybridMultilevel"/>
    <w:tmpl w:val="465EF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A37911"/>
    <w:multiLevelType w:val="hybridMultilevel"/>
    <w:tmpl w:val="9B4AF0A0"/>
    <w:lvl w:ilvl="0" w:tplc="04090003">
      <w:start w:val="1"/>
      <w:numFmt w:val="bullet"/>
      <w:lvlText w:val="o"/>
      <w:lvlJc w:val="left"/>
      <w:pPr>
        <w:ind w:left="720" w:hanging="360"/>
      </w:pPr>
      <w:rPr>
        <w:rFonts w:ascii="Courier New" w:hAnsi="Courier New" w:cs="Courier New" w:hint="default"/>
      </w:rPr>
    </w:lvl>
    <w:lvl w:ilvl="1" w:tplc="578E50BE">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D1F7C"/>
    <w:multiLevelType w:val="hybridMultilevel"/>
    <w:tmpl w:val="10865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423BF"/>
    <w:multiLevelType w:val="hybridMultilevel"/>
    <w:tmpl w:val="3C829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16055"/>
    <w:multiLevelType w:val="hybridMultilevel"/>
    <w:tmpl w:val="C1C2E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572737"/>
    <w:multiLevelType w:val="hybridMultilevel"/>
    <w:tmpl w:val="E5101D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A8A4286"/>
    <w:multiLevelType w:val="hybridMultilevel"/>
    <w:tmpl w:val="AC885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D2711E"/>
    <w:multiLevelType w:val="hybridMultilevel"/>
    <w:tmpl w:val="246244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3"/>
  </w:num>
  <w:num w:numId="5">
    <w:abstractNumId w:val="1"/>
  </w:num>
  <w:num w:numId="6">
    <w:abstractNumId w:val="29"/>
  </w:num>
  <w:num w:numId="7">
    <w:abstractNumId w:val="25"/>
  </w:num>
  <w:num w:numId="8">
    <w:abstractNumId w:val="12"/>
  </w:num>
  <w:num w:numId="9">
    <w:abstractNumId w:val="21"/>
  </w:num>
  <w:num w:numId="10">
    <w:abstractNumId w:val="4"/>
  </w:num>
  <w:num w:numId="11">
    <w:abstractNumId w:val="34"/>
  </w:num>
  <w:num w:numId="12">
    <w:abstractNumId w:val="19"/>
  </w:num>
  <w:num w:numId="13">
    <w:abstractNumId w:val="13"/>
  </w:num>
  <w:num w:numId="14">
    <w:abstractNumId w:val="38"/>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1"/>
  </w:num>
  <w:num w:numId="21">
    <w:abstractNumId w:val="14"/>
  </w:num>
  <w:num w:numId="22">
    <w:abstractNumId w:val="32"/>
  </w:num>
  <w:num w:numId="23">
    <w:abstractNumId w:val="22"/>
  </w:num>
  <w:num w:numId="24">
    <w:abstractNumId w:val="7"/>
  </w:num>
  <w:num w:numId="25">
    <w:abstractNumId w:val="30"/>
  </w:num>
  <w:num w:numId="26">
    <w:abstractNumId w:val="11"/>
  </w:num>
  <w:num w:numId="27">
    <w:abstractNumId w:val="10"/>
  </w:num>
  <w:num w:numId="28">
    <w:abstractNumId w:val="16"/>
  </w:num>
  <w:num w:numId="29">
    <w:abstractNumId w:val="33"/>
  </w:num>
  <w:num w:numId="30">
    <w:abstractNumId w:val="20"/>
  </w:num>
  <w:num w:numId="31">
    <w:abstractNumId w:val="26"/>
  </w:num>
  <w:num w:numId="32">
    <w:abstractNumId w:val="2"/>
  </w:num>
  <w:num w:numId="33">
    <w:abstractNumId w:val="35"/>
  </w:num>
  <w:num w:numId="34">
    <w:abstractNumId w:val="39"/>
  </w:num>
  <w:num w:numId="35">
    <w:abstractNumId w:val="27"/>
  </w:num>
  <w:num w:numId="36">
    <w:abstractNumId w:val="28"/>
  </w:num>
  <w:num w:numId="37">
    <w:abstractNumId w:val="17"/>
  </w:num>
  <w:num w:numId="38">
    <w:abstractNumId w:val="5"/>
  </w:num>
  <w:num w:numId="39">
    <w:abstractNumId w:val="23"/>
  </w:num>
  <w:num w:numId="40">
    <w:abstractNumId w:val="6"/>
  </w:num>
  <w:num w:numId="41">
    <w:abstractNumId w:val="0"/>
  </w:num>
  <w:num w:numId="42">
    <w:abstractNumId w:val="36"/>
  </w:num>
  <w:num w:numId="43">
    <w:abstractNumId w:val="37"/>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267"/>
    <w:rsid w:val="00000626"/>
    <w:rsid w:val="00002368"/>
    <w:rsid w:val="00003231"/>
    <w:rsid w:val="00005943"/>
    <w:rsid w:val="0000693F"/>
    <w:rsid w:val="000133D2"/>
    <w:rsid w:val="00015016"/>
    <w:rsid w:val="000159DA"/>
    <w:rsid w:val="00016861"/>
    <w:rsid w:val="00016D11"/>
    <w:rsid w:val="00017468"/>
    <w:rsid w:val="00017991"/>
    <w:rsid w:val="00021103"/>
    <w:rsid w:val="00021674"/>
    <w:rsid w:val="00022805"/>
    <w:rsid w:val="00024854"/>
    <w:rsid w:val="000309CC"/>
    <w:rsid w:val="00030DC4"/>
    <w:rsid w:val="000337E5"/>
    <w:rsid w:val="00034D4E"/>
    <w:rsid w:val="00042E1F"/>
    <w:rsid w:val="00043D57"/>
    <w:rsid w:val="0004428C"/>
    <w:rsid w:val="00044A44"/>
    <w:rsid w:val="00045A6F"/>
    <w:rsid w:val="0004799E"/>
    <w:rsid w:val="000510E1"/>
    <w:rsid w:val="000522F2"/>
    <w:rsid w:val="00052610"/>
    <w:rsid w:val="00052CFA"/>
    <w:rsid w:val="00054B56"/>
    <w:rsid w:val="00054FC9"/>
    <w:rsid w:val="00057345"/>
    <w:rsid w:val="00065B56"/>
    <w:rsid w:val="00067F1B"/>
    <w:rsid w:val="00074024"/>
    <w:rsid w:val="00081DF0"/>
    <w:rsid w:val="000851A6"/>
    <w:rsid w:val="0009056F"/>
    <w:rsid w:val="000906F1"/>
    <w:rsid w:val="00091533"/>
    <w:rsid w:val="00091987"/>
    <w:rsid w:val="000977E4"/>
    <w:rsid w:val="000A3F81"/>
    <w:rsid w:val="000B040E"/>
    <w:rsid w:val="000B2746"/>
    <w:rsid w:val="000B3B18"/>
    <w:rsid w:val="000B5785"/>
    <w:rsid w:val="000C4CE8"/>
    <w:rsid w:val="000C5A9E"/>
    <w:rsid w:val="000C6936"/>
    <w:rsid w:val="000C6E57"/>
    <w:rsid w:val="000D176C"/>
    <w:rsid w:val="000D1E8A"/>
    <w:rsid w:val="000D2434"/>
    <w:rsid w:val="000D34DA"/>
    <w:rsid w:val="000D6154"/>
    <w:rsid w:val="000D7C47"/>
    <w:rsid w:val="000E0EFE"/>
    <w:rsid w:val="000E2CF7"/>
    <w:rsid w:val="000E2D33"/>
    <w:rsid w:val="000E4516"/>
    <w:rsid w:val="000E57E3"/>
    <w:rsid w:val="000E5AEC"/>
    <w:rsid w:val="000E5DC1"/>
    <w:rsid w:val="000E71FE"/>
    <w:rsid w:val="000E7C72"/>
    <w:rsid w:val="000F559C"/>
    <w:rsid w:val="000F6131"/>
    <w:rsid w:val="001005BE"/>
    <w:rsid w:val="00100F17"/>
    <w:rsid w:val="00101D2D"/>
    <w:rsid w:val="001031E0"/>
    <w:rsid w:val="001044EA"/>
    <w:rsid w:val="001062CC"/>
    <w:rsid w:val="00106E3D"/>
    <w:rsid w:val="00110B42"/>
    <w:rsid w:val="00112297"/>
    <w:rsid w:val="0011701D"/>
    <w:rsid w:val="001206C7"/>
    <w:rsid w:val="001207CA"/>
    <w:rsid w:val="00123145"/>
    <w:rsid w:val="00131A82"/>
    <w:rsid w:val="00132969"/>
    <w:rsid w:val="00132E12"/>
    <w:rsid w:val="0013422F"/>
    <w:rsid w:val="0013445D"/>
    <w:rsid w:val="00137723"/>
    <w:rsid w:val="00137D58"/>
    <w:rsid w:val="001404E2"/>
    <w:rsid w:val="00143EC1"/>
    <w:rsid w:val="001458A2"/>
    <w:rsid w:val="00145C55"/>
    <w:rsid w:val="00145F97"/>
    <w:rsid w:val="001507A2"/>
    <w:rsid w:val="0015109E"/>
    <w:rsid w:val="001531F7"/>
    <w:rsid w:val="00154CD5"/>
    <w:rsid w:val="001551AD"/>
    <w:rsid w:val="00156795"/>
    <w:rsid w:val="00156A56"/>
    <w:rsid w:val="00160653"/>
    <w:rsid w:val="0016232A"/>
    <w:rsid w:val="00162821"/>
    <w:rsid w:val="0016508E"/>
    <w:rsid w:val="001665D8"/>
    <w:rsid w:val="0017344F"/>
    <w:rsid w:val="00174262"/>
    <w:rsid w:val="00174D63"/>
    <w:rsid w:val="00175B31"/>
    <w:rsid w:val="00177B78"/>
    <w:rsid w:val="00180097"/>
    <w:rsid w:val="001868ED"/>
    <w:rsid w:val="001879F8"/>
    <w:rsid w:val="00192919"/>
    <w:rsid w:val="00196205"/>
    <w:rsid w:val="001A07A9"/>
    <w:rsid w:val="001A19CE"/>
    <w:rsid w:val="001A735D"/>
    <w:rsid w:val="001A7B00"/>
    <w:rsid w:val="001B0473"/>
    <w:rsid w:val="001B308A"/>
    <w:rsid w:val="001B372A"/>
    <w:rsid w:val="001C3403"/>
    <w:rsid w:val="001C47D8"/>
    <w:rsid w:val="001C503E"/>
    <w:rsid w:val="001D0996"/>
    <w:rsid w:val="001D3A3D"/>
    <w:rsid w:val="001E036D"/>
    <w:rsid w:val="001E197A"/>
    <w:rsid w:val="001E29B1"/>
    <w:rsid w:val="001E2FE2"/>
    <w:rsid w:val="001F0CCC"/>
    <w:rsid w:val="00204171"/>
    <w:rsid w:val="0020659A"/>
    <w:rsid w:val="00210F29"/>
    <w:rsid w:val="0021296A"/>
    <w:rsid w:val="002201DD"/>
    <w:rsid w:val="00222787"/>
    <w:rsid w:val="00223A3E"/>
    <w:rsid w:val="00224D4B"/>
    <w:rsid w:val="0023035C"/>
    <w:rsid w:val="00233C38"/>
    <w:rsid w:val="00235AE8"/>
    <w:rsid w:val="00236477"/>
    <w:rsid w:val="00241A13"/>
    <w:rsid w:val="00241AA2"/>
    <w:rsid w:val="00243074"/>
    <w:rsid w:val="002446C2"/>
    <w:rsid w:val="0024612E"/>
    <w:rsid w:val="00247D2E"/>
    <w:rsid w:val="00251C16"/>
    <w:rsid w:val="0025206C"/>
    <w:rsid w:val="00252602"/>
    <w:rsid w:val="0025265F"/>
    <w:rsid w:val="00253181"/>
    <w:rsid w:val="00254FDD"/>
    <w:rsid w:val="002567B9"/>
    <w:rsid w:val="002613DC"/>
    <w:rsid w:val="00265E53"/>
    <w:rsid w:val="002667BB"/>
    <w:rsid w:val="00266A7B"/>
    <w:rsid w:val="00267000"/>
    <w:rsid w:val="00272658"/>
    <w:rsid w:val="002740A7"/>
    <w:rsid w:val="00274F1C"/>
    <w:rsid w:val="00276A22"/>
    <w:rsid w:val="00277819"/>
    <w:rsid w:val="00277BE3"/>
    <w:rsid w:val="00282503"/>
    <w:rsid w:val="0028299B"/>
    <w:rsid w:val="00283D29"/>
    <w:rsid w:val="00286325"/>
    <w:rsid w:val="002873E5"/>
    <w:rsid w:val="002910F8"/>
    <w:rsid w:val="00291DE3"/>
    <w:rsid w:val="00293E34"/>
    <w:rsid w:val="00296442"/>
    <w:rsid w:val="002A0A3B"/>
    <w:rsid w:val="002A7851"/>
    <w:rsid w:val="002A78B5"/>
    <w:rsid w:val="002B2D4F"/>
    <w:rsid w:val="002B2F65"/>
    <w:rsid w:val="002B4FA7"/>
    <w:rsid w:val="002B6066"/>
    <w:rsid w:val="002B7562"/>
    <w:rsid w:val="002C4294"/>
    <w:rsid w:val="002C6911"/>
    <w:rsid w:val="002D08B0"/>
    <w:rsid w:val="002E0DD3"/>
    <w:rsid w:val="002E54A9"/>
    <w:rsid w:val="002E65EC"/>
    <w:rsid w:val="002F0151"/>
    <w:rsid w:val="002F4629"/>
    <w:rsid w:val="003014FF"/>
    <w:rsid w:val="003037C8"/>
    <w:rsid w:val="0030513E"/>
    <w:rsid w:val="00307970"/>
    <w:rsid w:val="00310D64"/>
    <w:rsid w:val="00312ACB"/>
    <w:rsid w:val="003156CF"/>
    <w:rsid w:val="003158A4"/>
    <w:rsid w:val="00315FC1"/>
    <w:rsid w:val="00321F02"/>
    <w:rsid w:val="003233C6"/>
    <w:rsid w:val="0032535E"/>
    <w:rsid w:val="003258CF"/>
    <w:rsid w:val="00326B89"/>
    <w:rsid w:val="003305B2"/>
    <w:rsid w:val="00330F71"/>
    <w:rsid w:val="0033306E"/>
    <w:rsid w:val="0034021E"/>
    <w:rsid w:val="003404C4"/>
    <w:rsid w:val="003407BF"/>
    <w:rsid w:val="00352B37"/>
    <w:rsid w:val="00356638"/>
    <w:rsid w:val="00364B9D"/>
    <w:rsid w:val="003653D9"/>
    <w:rsid w:val="003656B5"/>
    <w:rsid w:val="00365EC8"/>
    <w:rsid w:val="00370B80"/>
    <w:rsid w:val="00370FD6"/>
    <w:rsid w:val="003713A2"/>
    <w:rsid w:val="0037429A"/>
    <w:rsid w:val="003759E8"/>
    <w:rsid w:val="0037752F"/>
    <w:rsid w:val="00377EEA"/>
    <w:rsid w:val="00377F17"/>
    <w:rsid w:val="0038047C"/>
    <w:rsid w:val="003806CA"/>
    <w:rsid w:val="00385912"/>
    <w:rsid w:val="003871CE"/>
    <w:rsid w:val="00390267"/>
    <w:rsid w:val="00394A66"/>
    <w:rsid w:val="00396B06"/>
    <w:rsid w:val="003A009E"/>
    <w:rsid w:val="003A19DB"/>
    <w:rsid w:val="003A2738"/>
    <w:rsid w:val="003A57B7"/>
    <w:rsid w:val="003B02CD"/>
    <w:rsid w:val="003B0A34"/>
    <w:rsid w:val="003B12F1"/>
    <w:rsid w:val="003B13E7"/>
    <w:rsid w:val="003B1C4C"/>
    <w:rsid w:val="003B7FF7"/>
    <w:rsid w:val="003C33F2"/>
    <w:rsid w:val="003C578D"/>
    <w:rsid w:val="003C6680"/>
    <w:rsid w:val="003C6D4C"/>
    <w:rsid w:val="003D0AF9"/>
    <w:rsid w:val="003D0E25"/>
    <w:rsid w:val="003D1BC6"/>
    <w:rsid w:val="003D5F11"/>
    <w:rsid w:val="003D7A73"/>
    <w:rsid w:val="003E0C3C"/>
    <w:rsid w:val="003E4604"/>
    <w:rsid w:val="003E5989"/>
    <w:rsid w:val="003E5A18"/>
    <w:rsid w:val="003F29B1"/>
    <w:rsid w:val="003F437E"/>
    <w:rsid w:val="003F4F4F"/>
    <w:rsid w:val="0040059F"/>
    <w:rsid w:val="0040385B"/>
    <w:rsid w:val="004100BF"/>
    <w:rsid w:val="00414776"/>
    <w:rsid w:val="004236B0"/>
    <w:rsid w:val="0042441F"/>
    <w:rsid w:val="0042579D"/>
    <w:rsid w:val="00426433"/>
    <w:rsid w:val="004276D9"/>
    <w:rsid w:val="00427D0D"/>
    <w:rsid w:val="00430800"/>
    <w:rsid w:val="00430894"/>
    <w:rsid w:val="0043140C"/>
    <w:rsid w:val="00434240"/>
    <w:rsid w:val="00434B09"/>
    <w:rsid w:val="00436D55"/>
    <w:rsid w:val="004377CD"/>
    <w:rsid w:val="004400A9"/>
    <w:rsid w:val="004408F3"/>
    <w:rsid w:val="00441BFB"/>
    <w:rsid w:val="00446B88"/>
    <w:rsid w:val="00450EAD"/>
    <w:rsid w:val="00455B30"/>
    <w:rsid w:val="00457D84"/>
    <w:rsid w:val="004603FD"/>
    <w:rsid w:val="004617DC"/>
    <w:rsid w:val="00464D48"/>
    <w:rsid w:val="00465506"/>
    <w:rsid w:val="00471BBB"/>
    <w:rsid w:val="004765A8"/>
    <w:rsid w:val="00482C33"/>
    <w:rsid w:val="004840E8"/>
    <w:rsid w:val="00484E36"/>
    <w:rsid w:val="00487E3A"/>
    <w:rsid w:val="00492DBC"/>
    <w:rsid w:val="004935DC"/>
    <w:rsid w:val="00494B40"/>
    <w:rsid w:val="00495B34"/>
    <w:rsid w:val="00497151"/>
    <w:rsid w:val="00497740"/>
    <w:rsid w:val="004A0912"/>
    <w:rsid w:val="004A0A0E"/>
    <w:rsid w:val="004A0C86"/>
    <w:rsid w:val="004A758A"/>
    <w:rsid w:val="004B7B8C"/>
    <w:rsid w:val="004B7C89"/>
    <w:rsid w:val="004C32A0"/>
    <w:rsid w:val="004C6A5A"/>
    <w:rsid w:val="004C7691"/>
    <w:rsid w:val="004D05AC"/>
    <w:rsid w:val="004D0CBA"/>
    <w:rsid w:val="004D5934"/>
    <w:rsid w:val="004E0F35"/>
    <w:rsid w:val="004E4949"/>
    <w:rsid w:val="004E7E9F"/>
    <w:rsid w:val="004F1663"/>
    <w:rsid w:val="004F4376"/>
    <w:rsid w:val="004F4B6E"/>
    <w:rsid w:val="004F55D2"/>
    <w:rsid w:val="0050190D"/>
    <w:rsid w:val="005025FF"/>
    <w:rsid w:val="0050361D"/>
    <w:rsid w:val="00505779"/>
    <w:rsid w:val="00511631"/>
    <w:rsid w:val="00512B90"/>
    <w:rsid w:val="00513A79"/>
    <w:rsid w:val="00513DFD"/>
    <w:rsid w:val="00513F74"/>
    <w:rsid w:val="00514881"/>
    <w:rsid w:val="00517FEA"/>
    <w:rsid w:val="00522714"/>
    <w:rsid w:val="00523394"/>
    <w:rsid w:val="00524469"/>
    <w:rsid w:val="005266DF"/>
    <w:rsid w:val="0052732A"/>
    <w:rsid w:val="00530746"/>
    <w:rsid w:val="00532FF8"/>
    <w:rsid w:val="005361F3"/>
    <w:rsid w:val="00540B46"/>
    <w:rsid w:val="00540E5F"/>
    <w:rsid w:val="005422D9"/>
    <w:rsid w:val="0054353D"/>
    <w:rsid w:val="00552833"/>
    <w:rsid w:val="00552CB7"/>
    <w:rsid w:val="005536FA"/>
    <w:rsid w:val="00553E33"/>
    <w:rsid w:val="005540A8"/>
    <w:rsid w:val="00556869"/>
    <w:rsid w:val="00557E0F"/>
    <w:rsid w:val="00561C69"/>
    <w:rsid w:val="00562AB4"/>
    <w:rsid w:val="0056310E"/>
    <w:rsid w:val="00563FBD"/>
    <w:rsid w:val="005650C5"/>
    <w:rsid w:val="0056689E"/>
    <w:rsid w:val="005677F3"/>
    <w:rsid w:val="00573827"/>
    <w:rsid w:val="0057421C"/>
    <w:rsid w:val="005770C3"/>
    <w:rsid w:val="00581CC8"/>
    <w:rsid w:val="00582243"/>
    <w:rsid w:val="00583146"/>
    <w:rsid w:val="00583EDA"/>
    <w:rsid w:val="00584561"/>
    <w:rsid w:val="00585C82"/>
    <w:rsid w:val="005909FA"/>
    <w:rsid w:val="0059200B"/>
    <w:rsid w:val="00592906"/>
    <w:rsid w:val="005A0965"/>
    <w:rsid w:val="005A1CAB"/>
    <w:rsid w:val="005A2B0C"/>
    <w:rsid w:val="005A36F7"/>
    <w:rsid w:val="005B1D77"/>
    <w:rsid w:val="005B20C8"/>
    <w:rsid w:val="005B2DE9"/>
    <w:rsid w:val="005B3657"/>
    <w:rsid w:val="005B3EB3"/>
    <w:rsid w:val="005C318D"/>
    <w:rsid w:val="005C429B"/>
    <w:rsid w:val="005C54AF"/>
    <w:rsid w:val="005C5C6A"/>
    <w:rsid w:val="005C72CE"/>
    <w:rsid w:val="005D2A78"/>
    <w:rsid w:val="005D7130"/>
    <w:rsid w:val="005E1568"/>
    <w:rsid w:val="005E5EC8"/>
    <w:rsid w:val="005E6C19"/>
    <w:rsid w:val="005F7DB2"/>
    <w:rsid w:val="006119BD"/>
    <w:rsid w:val="00615908"/>
    <w:rsid w:val="00617896"/>
    <w:rsid w:val="006200AD"/>
    <w:rsid w:val="006241E5"/>
    <w:rsid w:val="00630218"/>
    <w:rsid w:val="006302D0"/>
    <w:rsid w:val="00630869"/>
    <w:rsid w:val="006308D5"/>
    <w:rsid w:val="00634F21"/>
    <w:rsid w:val="00640973"/>
    <w:rsid w:val="00641B1D"/>
    <w:rsid w:val="00641FAC"/>
    <w:rsid w:val="00642323"/>
    <w:rsid w:val="00656FD2"/>
    <w:rsid w:val="00672D1A"/>
    <w:rsid w:val="0067507C"/>
    <w:rsid w:val="00677A7F"/>
    <w:rsid w:val="006811B1"/>
    <w:rsid w:val="006837C9"/>
    <w:rsid w:val="0068466D"/>
    <w:rsid w:val="00685C72"/>
    <w:rsid w:val="00685D6A"/>
    <w:rsid w:val="00686EF5"/>
    <w:rsid w:val="00691A58"/>
    <w:rsid w:val="00694709"/>
    <w:rsid w:val="006962B4"/>
    <w:rsid w:val="00697740"/>
    <w:rsid w:val="00697D3C"/>
    <w:rsid w:val="006A365A"/>
    <w:rsid w:val="006A3DC1"/>
    <w:rsid w:val="006A5356"/>
    <w:rsid w:val="006A6F14"/>
    <w:rsid w:val="006B0829"/>
    <w:rsid w:val="006B2E29"/>
    <w:rsid w:val="006B4D43"/>
    <w:rsid w:val="006C0439"/>
    <w:rsid w:val="006C07AA"/>
    <w:rsid w:val="006C27BB"/>
    <w:rsid w:val="006C51FD"/>
    <w:rsid w:val="006C7114"/>
    <w:rsid w:val="006D61B5"/>
    <w:rsid w:val="006E01A5"/>
    <w:rsid w:val="006E2073"/>
    <w:rsid w:val="006E2E7E"/>
    <w:rsid w:val="006E7099"/>
    <w:rsid w:val="006E77AE"/>
    <w:rsid w:val="006F27FA"/>
    <w:rsid w:val="006F3C25"/>
    <w:rsid w:val="006F44C0"/>
    <w:rsid w:val="006F4F03"/>
    <w:rsid w:val="006F70ED"/>
    <w:rsid w:val="00702C23"/>
    <w:rsid w:val="0071329D"/>
    <w:rsid w:val="00714ABB"/>
    <w:rsid w:val="00714BCE"/>
    <w:rsid w:val="00714E81"/>
    <w:rsid w:val="00717672"/>
    <w:rsid w:val="00720DD1"/>
    <w:rsid w:val="007226D8"/>
    <w:rsid w:val="007261C5"/>
    <w:rsid w:val="00726F2A"/>
    <w:rsid w:val="007272D7"/>
    <w:rsid w:val="00727E1A"/>
    <w:rsid w:val="00731FFF"/>
    <w:rsid w:val="007334E1"/>
    <w:rsid w:val="00735DF2"/>
    <w:rsid w:val="007373CC"/>
    <w:rsid w:val="0074625A"/>
    <w:rsid w:val="007471A2"/>
    <w:rsid w:val="00750828"/>
    <w:rsid w:val="007531E3"/>
    <w:rsid w:val="007540B4"/>
    <w:rsid w:val="007559C0"/>
    <w:rsid w:val="007575CC"/>
    <w:rsid w:val="00761EE1"/>
    <w:rsid w:val="00762232"/>
    <w:rsid w:val="00762AB3"/>
    <w:rsid w:val="007639C0"/>
    <w:rsid w:val="007667D1"/>
    <w:rsid w:val="007677B0"/>
    <w:rsid w:val="00775842"/>
    <w:rsid w:val="00776E87"/>
    <w:rsid w:val="0077722C"/>
    <w:rsid w:val="00780A73"/>
    <w:rsid w:val="00781E2E"/>
    <w:rsid w:val="00782EA0"/>
    <w:rsid w:val="00785333"/>
    <w:rsid w:val="007867C1"/>
    <w:rsid w:val="00787425"/>
    <w:rsid w:val="00793EFA"/>
    <w:rsid w:val="007A2437"/>
    <w:rsid w:val="007A3C7D"/>
    <w:rsid w:val="007B03C8"/>
    <w:rsid w:val="007C0DC1"/>
    <w:rsid w:val="007C2FFD"/>
    <w:rsid w:val="007C57E1"/>
    <w:rsid w:val="007D3D29"/>
    <w:rsid w:val="007D61F4"/>
    <w:rsid w:val="007D70B9"/>
    <w:rsid w:val="007D7D7A"/>
    <w:rsid w:val="007E0FC1"/>
    <w:rsid w:val="007E5B31"/>
    <w:rsid w:val="007E6B2C"/>
    <w:rsid w:val="007F032D"/>
    <w:rsid w:val="007F5414"/>
    <w:rsid w:val="007F5EAB"/>
    <w:rsid w:val="007F7216"/>
    <w:rsid w:val="007F7808"/>
    <w:rsid w:val="00800630"/>
    <w:rsid w:val="00800C97"/>
    <w:rsid w:val="00801BAF"/>
    <w:rsid w:val="0080793D"/>
    <w:rsid w:val="00810635"/>
    <w:rsid w:val="008123A6"/>
    <w:rsid w:val="0081271C"/>
    <w:rsid w:val="00814644"/>
    <w:rsid w:val="00815279"/>
    <w:rsid w:val="00816188"/>
    <w:rsid w:val="008204BB"/>
    <w:rsid w:val="00832B84"/>
    <w:rsid w:val="00832D20"/>
    <w:rsid w:val="00832D94"/>
    <w:rsid w:val="00844936"/>
    <w:rsid w:val="00844A2F"/>
    <w:rsid w:val="00844C84"/>
    <w:rsid w:val="00845A66"/>
    <w:rsid w:val="00847C5E"/>
    <w:rsid w:val="00850768"/>
    <w:rsid w:val="00851505"/>
    <w:rsid w:val="00857D97"/>
    <w:rsid w:val="008610A0"/>
    <w:rsid w:val="008625FD"/>
    <w:rsid w:val="00865258"/>
    <w:rsid w:val="0086688D"/>
    <w:rsid w:val="00871601"/>
    <w:rsid w:val="008716E5"/>
    <w:rsid w:val="0087495A"/>
    <w:rsid w:val="00875C84"/>
    <w:rsid w:val="0087691A"/>
    <w:rsid w:val="008809B5"/>
    <w:rsid w:val="008813CF"/>
    <w:rsid w:val="00881B1D"/>
    <w:rsid w:val="008829DC"/>
    <w:rsid w:val="008849E7"/>
    <w:rsid w:val="00886C57"/>
    <w:rsid w:val="008878C4"/>
    <w:rsid w:val="008915F2"/>
    <w:rsid w:val="00892744"/>
    <w:rsid w:val="00895631"/>
    <w:rsid w:val="00897541"/>
    <w:rsid w:val="008A4D9B"/>
    <w:rsid w:val="008A62C0"/>
    <w:rsid w:val="008A7894"/>
    <w:rsid w:val="008A7E15"/>
    <w:rsid w:val="008B65FB"/>
    <w:rsid w:val="008C42DC"/>
    <w:rsid w:val="008C7807"/>
    <w:rsid w:val="008D14A3"/>
    <w:rsid w:val="008D3B5B"/>
    <w:rsid w:val="008D4BE0"/>
    <w:rsid w:val="008D7882"/>
    <w:rsid w:val="008D7FA9"/>
    <w:rsid w:val="008E052E"/>
    <w:rsid w:val="008E5DFD"/>
    <w:rsid w:val="008F070F"/>
    <w:rsid w:val="008F2546"/>
    <w:rsid w:val="008F2A68"/>
    <w:rsid w:val="008F2F94"/>
    <w:rsid w:val="008F7178"/>
    <w:rsid w:val="009030D0"/>
    <w:rsid w:val="00905816"/>
    <w:rsid w:val="00906786"/>
    <w:rsid w:val="00906F9A"/>
    <w:rsid w:val="009102ED"/>
    <w:rsid w:val="00911039"/>
    <w:rsid w:val="009124FD"/>
    <w:rsid w:val="00912D50"/>
    <w:rsid w:val="00915C85"/>
    <w:rsid w:val="00921EA0"/>
    <w:rsid w:val="00924CC0"/>
    <w:rsid w:val="009304EA"/>
    <w:rsid w:val="00930A90"/>
    <w:rsid w:val="009320E8"/>
    <w:rsid w:val="0093331C"/>
    <w:rsid w:val="00933C3E"/>
    <w:rsid w:val="00935CC0"/>
    <w:rsid w:val="00936A01"/>
    <w:rsid w:val="0093706E"/>
    <w:rsid w:val="00945ED5"/>
    <w:rsid w:val="009505B5"/>
    <w:rsid w:val="00951EF3"/>
    <w:rsid w:val="00953409"/>
    <w:rsid w:val="0095438C"/>
    <w:rsid w:val="0095573E"/>
    <w:rsid w:val="009569B4"/>
    <w:rsid w:val="00956F46"/>
    <w:rsid w:val="00957374"/>
    <w:rsid w:val="009607AA"/>
    <w:rsid w:val="00963941"/>
    <w:rsid w:val="00963E7F"/>
    <w:rsid w:val="00966FFF"/>
    <w:rsid w:val="0097373A"/>
    <w:rsid w:val="00975F9F"/>
    <w:rsid w:val="00982C43"/>
    <w:rsid w:val="0098703B"/>
    <w:rsid w:val="00990060"/>
    <w:rsid w:val="0099037B"/>
    <w:rsid w:val="00990624"/>
    <w:rsid w:val="009954D7"/>
    <w:rsid w:val="00995D6E"/>
    <w:rsid w:val="009A3B87"/>
    <w:rsid w:val="009A751D"/>
    <w:rsid w:val="009A7B08"/>
    <w:rsid w:val="009B36CF"/>
    <w:rsid w:val="009B54A1"/>
    <w:rsid w:val="009C19D9"/>
    <w:rsid w:val="009C22D4"/>
    <w:rsid w:val="009C2340"/>
    <w:rsid w:val="009C24DA"/>
    <w:rsid w:val="009C3864"/>
    <w:rsid w:val="009C53A7"/>
    <w:rsid w:val="009C6AE9"/>
    <w:rsid w:val="009D0721"/>
    <w:rsid w:val="009D5770"/>
    <w:rsid w:val="009D6D13"/>
    <w:rsid w:val="009E2E63"/>
    <w:rsid w:val="009E3E45"/>
    <w:rsid w:val="009E716C"/>
    <w:rsid w:val="009E7B65"/>
    <w:rsid w:val="009E7C55"/>
    <w:rsid w:val="009F1A67"/>
    <w:rsid w:val="009F462E"/>
    <w:rsid w:val="009F479A"/>
    <w:rsid w:val="009F4FA8"/>
    <w:rsid w:val="009F4FAC"/>
    <w:rsid w:val="009F63D3"/>
    <w:rsid w:val="00A028DC"/>
    <w:rsid w:val="00A062BE"/>
    <w:rsid w:val="00A06C79"/>
    <w:rsid w:val="00A070BA"/>
    <w:rsid w:val="00A10BB6"/>
    <w:rsid w:val="00A12E1A"/>
    <w:rsid w:val="00A16A70"/>
    <w:rsid w:val="00A206EB"/>
    <w:rsid w:val="00A21FF8"/>
    <w:rsid w:val="00A23B2F"/>
    <w:rsid w:val="00A24E7F"/>
    <w:rsid w:val="00A26A82"/>
    <w:rsid w:val="00A3123F"/>
    <w:rsid w:val="00A31617"/>
    <w:rsid w:val="00A31DED"/>
    <w:rsid w:val="00A344AF"/>
    <w:rsid w:val="00A356DE"/>
    <w:rsid w:val="00A3693E"/>
    <w:rsid w:val="00A376F2"/>
    <w:rsid w:val="00A37E62"/>
    <w:rsid w:val="00A420B1"/>
    <w:rsid w:val="00A442B4"/>
    <w:rsid w:val="00A44FE7"/>
    <w:rsid w:val="00A4610F"/>
    <w:rsid w:val="00A47F0E"/>
    <w:rsid w:val="00A514F2"/>
    <w:rsid w:val="00A53AA0"/>
    <w:rsid w:val="00A54388"/>
    <w:rsid w:val="00A54429"/>
    <w:rsid w:val="00A54DB5"/>
    <w:rsid w:val="00A56923"/>
    <w:rsid w:val="00A62AAC"/>
    <w:rsid w:val="00A65AB1"/>
    <w:rsid w:val="00A73EE1"/>
    <w:rsid w:val="00A75474"/>
    <w:rsid w:val="00A8222B"/>
    <w:rsid w:val="00A94F9C"/>
    <w:rsid w:val="00A96683"/>
    <w:rsid w:val="00AA44FF"/>
    <w:rsid w:val="00AA4D7B"/>
    <w:rsid w:val="00AB0D45"/>
    <w:rsid w:val="00AB1190"/>
    <w:rsid w:val="00AB23DE"/>
    <w:rsid w:val="00AB4AA1"/>
    <w:rsid w:val="00AB6AA7"/>
    <w:rsid w:val="00AB6D2D"/>
    <w:rsid w:val="00AC3FA0"/>
    <w:rsid w:val="00AC5542"/>
    <w:rsid w:val="00AC5E80"/>
    <w:rsid w:val="00AD4A1C"/>
    <w:rsid w:val="00AD6848"/>
    <w:rsid w:val="00AE4954"/>
    <w:rsid w:val="00AE6A85"/>
    <w:rsid w:val="00AE6D23"/>
    <w:rsid w:val="00AE7A13"/>
    <w:rsid w:val="00AF1BEC"/>
    <w:rsid w:val="00AF2643"/>
    <w:rsid w:val="00AF32DC"/>
    <w:rsid w:val="00AF4C7C"/>
    <w:rsid w:val="00B00B77"/>
    <w:rsid w:val="00B00E05"/>
    <w:rsid w:val="00B04392"/>
    <w:rsid w:val="00B06CC2"/>
    <w:rsid w:val="00B11152"/>
    <w:rsid w:val="00B11BCD"/>
    <w:rsid w:val="00B125FD"/>
    <w:rsid w:val="00B145EA"/>
    <w:rsid w:val="00B14EC6"/>
    <w:rsid w:val="00B151A2"/>
    <w:rsid w:val="00B17B10"/>
    <w:rsid w:val="00B22632"/>
    <w:rsid w:val="00B26600"/>
    <w:rsid w:val="00B27D79"/>
    <w:rsid w:val="00B37BEF"/>
    <w:rsid w:val="00B425E1"/>
    <w:rsid w:val="00B47365"/>
    <w:rsid w:val="00B52462"/>
    <w:rsid w:val="00B526C5"/>
    <w:rsid w:val="00B53049"/>
    <w:rsid w:val="00B53306"/>
    <w:rsid w:val="00B544F9"/>
    <w:rsid w:val="00B54D39"/>
    <w:rsid w:val="00B54DD9"/>
    <w:rsid w:val="00B55B2B"/>
    <w:rsid w:val="00B572BB"/>
    <w:rsid w:val="00B62392"/>
    <w:rsid w:val="00B6309A"/>
    <w:rsid w:val="00B6331F"/>
    <w:rsid w:val="00B7088D"/>
    <w:rsid w:val="00B73777"/>
    <w:rsid w:val="00B752E8"/>
    <w:rsid w:val="00B76660"/>
    <w:rsid w:val="00B778F3"/>
    <w:rsid w:val="00B85A2F"/>
    <w:rsid w:val="00B86655"/>
    <w:rsid w:val="00B903D7"/>
    <w:rsid w:val="00B9080D"/>
    <w:rsid w:val="00B92696"/>
    <w:rsid w:val="00B953BC"/>
    <w:rsid w:val="00B9599C"/>
    <w:rsid w:val="00BA0CAC"/>
    <w:rsid w:val="00BA57CA"/>
    <w:rsid w:val="00BB0170"/>
    <w:rsid w:val="00BB291C"/>
    <w:rsid w:val="00BB43DF"/>
    <w:rsid w:val="00BB481B"/>
    <w:rsid w:val="00BB5A5C"/>
    <w:rsid w:val="00BB7C1C"/>
    <w:rsid w:val="00BC2141"/>
    <w:rsid w:val="00BC3B6A"/>
    <w:rsid w:val="00BD0C07"/>
    <w:rsid w:val="00BD0F15"/>
    <w:rsid w:val="00BD25D3"/>
    <w:rsid w:val="00BD7301"/>
    <w:rsid w:val="00BE4C35"/>
    <w:rsid w:val="00BF1F1D"/>
    <w:rsid w:val="00BF2D10"/>
    <w:rsid w:val="00BF36F9"/>
    <w:rsid w:val="00BF3FCB"/>
    <w:rsid w:val="00BF571A"/>
    <w:rsid w:val="00BF618F"/>
    <w:rsid w:val="00BF7D1D"/>
    <w:rsid w:val="00C0373E"/>
    <w:rsid w:val="00C04664"/>
    <w:rsid w:val="00C06840"/>
    <w:rsid w:val="00C068C5"/>
    <w:rsid w:val="00C10B31"/>
    <w:rsid w:val="00C12829"/>
    <w:rsid w:val="00C15C7F"/>
    <w:rsid w:val="00C15D5C"/>
    <w:rsid w:val="00C16F6B"/>
    <w:rsid w:val="00C176B5"/>
    <w:rsid w:val="00C2360C"/>
    <w:rsid w:val="00C23BED"/>
    <w:rsid w:val="00C26C50"/>
    <w:rsid w:val="00C27CAD"/>
    <w:rsid w:val="00C3156F"/>
    <w:rsid w:val="00C37166"/>
    <w:rsid w:val="00C378ED"/>
    <w:rsid w:val="00C45649"/>
    <w:rsid w:val="00C45F9C"/>
    <w:rsid w:val="00C4620B"/>
    <w:rsid w:val="00C468FD"/>
    <w:rsid w:val="00C53A45"/>
    <w:rsid w:val="00C55B9F"/>
    <w:rsid w:val="00C573B8"/>
    <w:rsid w:val="00C57A30"/>
    <w:rsid w:val="00C6479D"/>
    <w:rsid w:val="00C72ECC"/>
    <w:rsid w:val="00C77551"/>
    <w:rsid w:val="00C85132"/>
    <w:rsid w:val="00C87CFF"/>
    <w:rsid w:val="00C91272"/>
    <w:rsid w:val="00C9233A"/>
    <w:rsid w:val="00CA1FD6"/>
    <w:rsid w:val="00CB0E02"/>
    <w:rsid w:val="00CB20B7"/>
    <w:rsid w:val="00CC2A56"/>
    <w:rsid w:val="00CC32A2"/>
    <w:rsid w:val="00CC5FB0"/>
    <w:rsid w:val="00CD5838"/>
    <w:rsid w:val="00CD7045"/>
    <w:rsid w:val="00CE18EB"/>
    <w:rsid w:val="00CE7609"/>
    <w:rsid w:val="00CE7E5E"/>
    <w:rsid w:val="00CF4BCF"/>
    <w:rsid w:val="00CF5155"/>
    <w:rsid w:val="00CF6ED0"/>
    <w:rsid w:val="00D0099E"/>
    <w:rsid w:val="00D03ECB"/>
    <w:rsid w:val="00D063C8"/>
    <w:rsid w:val="00D1138E"/>
    <w:rsid w:val="00D15C81"/>
    <w:rsid w:val="00D24B6A"/>
    <w:rsid w:val="00D306DA"/>
    <w:rsid w:val="00D3278E"/>
    <w:rsid w:val="00D40BD4"/>
    <w:rsid w:val="00D47FAE"/>
    <w:rsid w:val="00D54A3A"/>
    <w:rsid w:val="00D552FF"/>
    <w:rsid w:val="00D6235C"/>
    <w:rsid w:val="00D64DBA"/>
    <w:rsid w:val="00D75503"/>
    <w:rsid w:val="00D75AB4"/>
    <w:rsid w:val="00D77509"/>
    <w:rsid w:val="00D81C03"/>
    <w:rsid w:val="00D83A5E"/>
    <w:rsid w:val="00D923AA"/>
    <w:rsid w:val="00D926D0"/>
    <w:rsid w:val="00D9712F"/>
    <w:rsid w:val="00DA4048"/>
    <w:rsid w:val="00DA426A"/>
    <w:rsid w:val="00DA56A8"/>
    <w:rsid w:val="00DA685B"/>
    <w:rsid w:val="00DA78F2"/>
    <w:rsid w:val="00DA7A69"/>
    <w:rsid w:val="00DB0EE7"/>
    <w:rsid w:val="00DB2D1F"/>
    <w:rsid w:val="00DC2431"/>
    <w:rsid w:val="00DC399A"/>
    <w:rsid w:val="00DC4605"/>
    <w:rsid w:val="00DC6610"/>
    <w:rsid w:val="00DC6B3E"/>
    <w:rsid w:val="00DC77EE"/>
    <w:rsid w:val="00DD09A5"/>
    <w:rsid w:val="00DD0A43"/>
    <w:rsid w:val="00DD1591"/>
    <w:rsid w:val="00DD38CC"/>
    <w:rsid w:val="00DD727D"/>
    <w:rsid w:val="00DE0190"/>
    <w:rsid w:val="00DE036F"/>
    <w:rsid w:val="00DE0427"/>
    <w:rsid w:val="00DE33C3"/>
    <w:rsid w:val="00DE4A31"/>
    <w:rsid w:val="00DF22C2"/>
    <w:rsid w:val="00DF463C"/>
    <w:rsid w:val="00DF5022"/>
    <w:rsid w:val="00DF66CF"/>
    <w:rsid w:val="00DF7A61"/>
    <w:rsid w:val="00E00FAB"/>
    <w:rsid w:val="00E02D31"/>
    <w:rsid w:val="00E02EF6"/>
    <w:rsid w:val="00E0368E"/>
    <w:rsid w:val="00E043D6"/>
    <w:rsid w:val="00E20205"/>
    <w:rsid w:val="00E207CA"/>
    <w:rsid w:val="00E2214B"/>
    <w:rsid w:val="00E26959"/>
    <w:rsid w:val="00E33746"/>
    <w:rsid w:val="00E36D67"/>
    <w:rsid w:val="00E37564"/>
    <w:rsid w:val="00E40772"/>
    <w:rsid w:val="00E418B8"/>
    <w:rsid w:val="00E43720"/>
    <w:rsid w:val="00E44110"/>
    <w:rsid w:val="00E522D2"/>
    <w:rsid w:val="00E56433"/>
    <w:rsid w:val="00E57CEE"/>
    <w:rsid w:val="00E613FA"/>
    <w:rsid w:val="00E63DB8"/>
    <w:rsid w:val="00E649DC"/>
    <w:rsid w:val="00E673A6"/>
    <w:rsid w:val="00E679CB"/>
    <w:rsid w:val="00E70536"/>
    <w:rsid w:val="00E706A4"/>
    <w:rsid w:val="00E716E1"/>
    <w:rsid w:val="00E7222A"/>
    <w:rsid w:val="00E73370"/>
    <w:rsid w:val="00E770CA"/>
    <w:rsid w:val="00E77C2A"/>
    <w:rsid w:val="00E80859"/>
    <w:rsid w:val="00E81819"/>
    <w:rsid w:val="00E81BDD"/>
    <w:rsid w:val="00E8696F"/>
    <w:rsid w:val="00E908FA"/>
    <w:rsid w:val="00E90CB4"/>
    <w:rsid w:val="00E921BA"/>
    <w:rsid w:val="00E93F77"/>
    <w:rsid w:val="00E94441"/>
    <w:rsid w:val="00E94B59"/>
    <w:rsid w:val="00E94F1B"/>
    <w:rsid w:val="00E97B51"/>
    <w:rsid w:val="00EA0A23"/>
    <w:rsid w:val="00EA3A25"/>
    <w:rsid w:val="00EA5951"/>
    <w:rsid w:val="00EB3E92"/>
    <w:rsid w:val="00EB4FA7"/>
    <w:rsid w:val="00EC0059"/>
    <w:rsid w:val="00EC212C"/>
    <w:rsid w:val="00EC6651"/>
    <w:rsid w:val="00EC7806"/>
    <w:rsid w:val="00ED1525"/>
    <w:rsid w:val="00ED29F1"/>
    <w:rsid w:val="00ED316F"/>
    <w:rsid w:val="00ED33F0"/>
    <w:rsid w:val="00ED44A9"/>
    <w:rsid w:val="00EE3013"/>
    <w:rsid w:val="00EE595B"/>
    <w:rsid w:val="00EE799F"/>
    <w:rsid w:val="00EF06D9"/>
    <w:rsid w:val="00EF6DF0"/>
    <w:rsid w:val="00F05FEF"/>
    <w:rsid w:val="00F068DD"/>
    <w:rsid w:val="00F06902"/>
    <w:rsid w:val="00F12CE6"/>
    <w:rsid w:val="00F13374"/>
    <w:rsid w:val="00F15111"/>
    <w:rsid w:val="00F15A3D"/>
    <w:rsid w:val="00F16B8A"/>
    <w:rsid w:val="00F20D18"/>
    <w:rsid w:val="00F23CF0"/>
    <w:rsid w:val="00F251C2"/>
    <w:rsid w:val="00F30B69"/>
    <w:rsid w:val="00F329A3"/>
    <w:rsid w:val="00F32A44"/>
    <w:rsid w:val="00F36CC0"/>
    <w:rsid w:val="00F37ECB"/>
    <w:rsid w:val="00F43668"/>
    <w:rsid w:val="00F473B7"/>
    <w:rsid w:val="00F52A99"/>
    <w:rsid w:val="00F54F90"/>
    <w:rsid w:val="00F552F9"/>
    <w:rsid w:val="00F62572"/>
    <w:rsid w:val="00F634DB"/>
    <w:rsid w:val="00F63AE4"/>
    <w:rsid w:val="00F656B4"/>
    <w:rsid w:val="00F76EA8"/>
    <w:rsid w:val="00F7718D"/>
    <w:rsid w:val="00F80699"/>
    <w:rsid w:val="00F808F3"/>
    <w:rsid w:val="00F80CA8"/>
    <w:rsid w:val="00F8474E"/>
    <w:rsid w:val="00F86E22"/>
    <w:rsid w:val="00F903F8"/>
    <w:rsid w:val="00F9099E"/>
    <w:rsid w:val="00F90E2F"/>
    <w:rsid w:val="00F9317D"/>
    <w:rsid w:val="00F951E8"/>
    <w:rsid w:val="00F96D1C"/>
    <w:rsid w:val="00FA112C"/>
    <w:rsid w:val="00FB04D0"/>
    <w:rsid w:val="00FB49F7"/>
    <w:rsid w:val="00FB5374"/>
    <w:rsid w:val="00FB57F5"/>
    <w:rsid w:val="00FC1838"/>
    <w:rsid w:val="00FC4385"/>
    <w:rsid w:val="00FC7614"/>
    <w:rsid w:val="00FC7739"/>
    <w:rsid w:val="00FD11D8"/>
    <w:rsid w:val="00FD131E"/>
    <w:rsid w:val="00FD136D"/>
    <w:rsid w:val="00FD46A3"/>
    <w:rsid w:val="00FD576B"/>
    <w:rsid w:val="00FD6267"/>
    <w:rsid w:val="00FD7A73"/>
    <w:rsid w:val="00FE0485"/>
    <w:rsid w:val="00FE2609"/>
    <w:rsid w:val="00FE2F79"/>
    <w:rsid w:val="00FE3A9C"/>
    <w:rsid w:val="00FE4EE9"/>
    <w:rsid w:val="00FE54DF"/>
    <w:rsid w:val="00FF01C6"/>
    <w:rsid w:val="00FF06E0"/>
    <w:rsid w:val="00FF3452"/>
    <w:rsid w:val="00FF3DE7"/>
    <w:rsid w:val="00FF65C5"/>
    <w:rsid w:val="00FF7671"/>
    <w:rsid w:val="00FF7AEC"/>
    <w:rsid w:val="00FF7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192EBB"/>
  <w15:chartTrackingRefBased/>
  <w15:docId w15:val="{05ED7D68-9621-4ED9-A51F-EFAADF7A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2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90267"/>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390267"/>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390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390267"/>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390267"/>
    <w:pPr>
      <w:numPr>
        <w:ilvl w:val="4"/>
      </w:numPr>
      <w:outlineLvl w:val="4"/>
    </w:pPr>
    <w:rPr>
      <w:sz w:val="22"/>
    </w:rPr>
  </w:style>
  <w:style w:type="paragraph" w:styleId="Heading6">
    <w:name w:val="heading 6"/>
    <w:basedOn w:val="Normal"/>
    <w:next w:val="Normal"/>
    <w:link w:val="Heading6Char"/>
    <w:semiHidden/>
    <w:unhideWhenUsed/>
    <w:qFormat/>
    <w:rsid w:val="00390267"/>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390267"/>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390267"/>
    <w:pPr>
      <w:numPr>
        <w:ilvl w:val="7"/>
        <w:numId w:val="1"/>
      </w:numPr>
      <w:outlineLvl w:val="7"/>
    </w:pPr>
  </w:style>
  <w:style w:type="paragraph" w:styleId="Heading9">
    <w:name w:val="heading 9"/>
    <w:basedOn w:val="Heading8"/>
    <w:next w:val="Normal"/>
    <w:link w:val="Heading9Char"/>
    <w:uiPriority w:val="99"/>
    <w:semiHidden/>
    <w:unhideWhenUsed/>
    <w:qFormat/>
    <w:rsid w:val="0039026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267"/>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390267"/>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390267"/>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390267"/>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390267"/>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390267"/>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390267"/>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390267"/>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390267"/>
    <w:rPr>
      <w:rFonts w:ascii="Arial" w:eastAsia="Malgun Gothic" w:hAnsi="Arial" w:cs="Times New Roman"/>
      <w:sz w:val="36"/>
      <w:szCs w:val="20"/>
      <w:lang w:val="en-GB"/>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390267"/>
    <w:pPr>
      <w:ind w:left="720"/>
      <w:contextualSpacing/>
    </w:pPr>
  </w:style>
  <w:style w:type="paragraph" w:customStyle="1" w:styleId="TF">
    <w:name w:val="TF"/>
    <w:basedOn w:val="Normal"/>
    <w:link w:val="TFChar"/>
    <w:rsid w:val="00390267"/>
    <w:pPr>
      <w:keepLines/>
      <w:spacing w:after="240"/>
      <w:jc w:val="center"/>
    </w:pPr>
    <w:rPr>
      <w:rFonts w:ascii="Arial" w:eastAsia="SimSun" w:hAnsi="Arial"/>
      <w:b/>
    </w:rPr>
  </w:style>
  <w:style w:type="character" w:customStyle="1" w:styleId="TFChar">
    <w:name w:val="TF Char"/>
    <w:link w:val="TF"/>
    <w:qFormat/>
    <w:rsid w:val="00390267"/>
    <w:rPr>
      <w:rFonts w:ascii="Arial" w:eastAsia="SimSun" w:hAnsi="Arial" w:cs="Times New Roman"/>
      <w:b/>
      <w:sz w:val="20"/>
      <w:szCs w:val="20"/>
      <w:lang w:val="en-GB"/>
    </w:rPr>
  </w:style>
  <w:style w:type="table" w:styleId="TableGrid">
    <w:name w:val="Table Grid"/>
    <w:basedOn w:val="TableNormal"/>
    <w:uiPriority w:val="39"/>
    <w:rsid w:val="00390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267"/>
    <w:pPr>
      <w:spacing w:before="100" w:beforeAutospacing="1" w:after="100" w:afterAutospacing="1"/>
    </w:pPr>
    <w:rPr>
      <w:rFonts w:eastAsia="Times New Roman"/>
      <w:sz w:val="24"/>
      <w:szCs w:val="24"/>
      <w:lang w:val="en-US"/>
    </w:rPr>
  </w:style>
  <w:style w:type="paragraph" w:customStyle="1" w:styleId="TAL">
    <w:name w:val="TAL"/>
    <w:basedOn w:val="Normal"/>
    <w:link w:val="TALCar"/>
    <w:qFormat/>
    <w:rsid w:val="0039026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locked/>
    <w:rsid w:val="00390267"/>
    <w:rPr>
      <w:rFonts w:ascii="Arial" w:eastAsia="Times New Roman" w:hAnsi="Arial" w:cs="Times New Roman"/>
      <w:sz w:val="18"/>
      <w:szCs w:val="20"/>
      <w:lang w:val="en-GB"/>
    </w:rPr>
  </w:style>
  <w:style w:type="paragraph" w:customStyle="1" w:styleId="TH">
    <w:name w:val="TH"/>
    <w:basedOn w:val="Normal"/>
    <w:link w:val="THChar"/>
    <w:rsid w:val="003902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locked/>
    <w:rsid w:val="00390267"/>
    <w:rPr>
      <w:rFonts w:ascii="Arial" w:eastAsia="Times New Roman" w:hAnsi="Arial" w:cs="Times New Roman"/>
      <w:b/>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390267"/>
    <w:rPr>
      <w:rFonts w:ascii="Times New Roman" w:eastAsia="Malgun Gothic" w:hAnsi="Times New Roman" w:cs="Times New Roman"/>
      <w:sz w:val="20"/>
      <w:szCs w:val="20"/>
      <w:lang w:val="en-GB"/>
    </w:rPr>
  </w:style>
  <w:style w:type="character" w:customStyle="1" w:styleId="TALChar">
    <w:name w:val="TAL Char"/>
    <w:qFormat/>
    <w:rsid w:val="00487E3A"/>
    <w:rPr>
      <w:rFonts w:ascii="Arial" w:hAnsi="Arial"/>
      <w:sz w:val="18"/>
      <w:lang w:val="en-GB" w:eastAsia="en-GB"/>
    </w:rPr>
  </w:style>
  <w:style w:type="paragraph" w:customStyle="1" w:styleId="TAH">
    <w:name w:val="TAH"/>
    <w:basedOn w:val="Normal"/>
    <w:link w:val="TAHChar"/>
    <w:rsid w:val="00487E3A"/>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har">
    <w:name w:val="TAH Char"/>
    <w:link w:val="TAH"/>
    <w:qFormat/>
    <w:rsid w:val="00487E3A"/>
    <w:rPr>
      <w:rFonts w:ascii="Arial" w:eastAsia="Times New Roman" w:hAnsi="Arial" w:cs="Times New Roman"/>
      <w:b/>
      <w:sz w:val="18"/>
      <w:szCs w:val="20"/>
      <w:lang w:val="en-GB" w:eastAsia="en-GB"/>
    </w:rPr>
  </w:style>
  <w:style w:type="paragraph" w:styleId="BalloonText">
    <w:name w:val="Balloon Text"/>
    <w:basedOn w:val="Normal"/>
    <w:link w:val="BalloonTextChar"/>
    <w:uiPriority w:val="99"/>
    <w:semiHidden/>
    <w:unhideWhenUsed/>
    <w:rsid w:val="00030D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DC4"/>
    <w:rPr>
      <w:rFonts w:ascii="Segoe UI" w:eastAsia="Malgun Gothic" w:hAnsi="Segoe UI" w:cs="Segoe UI"/>
      <w:sz w:val="18"/>
      <w:szCs w:val="18"/>
      <w:lang w:val="en-GB"/>
    </w:rPr>
  </w:style>
  <w:style w:type="paragraph" w:customStyle="1" w:styleId="B1">
    <w:name w:val="B1"/>
    <w:basedOn w:val="List"/>
    <w:link w:val="B1Char"/>
    <w:qFormat/>
    <w:rsid w:val="00296442"/>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29644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96442"/>
    <w:pPr>
      <w:ind w:left="360" w:hanging="360"/>
      <w:contextualSpacing/>
    </w:pPr>
  </w:style>
  <w:style w:type="character" w:customStyle="1" w:styleId="s2">
    <w:name w:val="s2"/>
    <w:rsid w:val="00FD7A73"/>
  </w:style>
  <w:style w:type="paragraph" w:styleId="Header">
    <w:name w:val="header"/>
    <w:basedOn w:val="Normal"/>
    <w:link w:val="HeaderChar"/>
    <w:uiPriority w:val="99"/>
    <w:unhideWhenUsed/>
    <w:rsid w:val="006241E5"/>
    <w:pPr>
      <w:tabs>
        <w:tab w:val="center" w:pos="4680"/>
        <w:tab w:val="right" w:pos="9360"/>
      </w:tabs>
      <w:spacing w:after="0"/>
    </w:pPr>
  </w:style>
  <w:style w:type="character" w:customStyle="1" w:styleId="HeaderChar">
    <w:name w:val="Header Char"/>
    <w:basedOn w:val="DefaultParagraphFont"/>
    <w:link w:val="Header"/>
    <w:uiPriority w:val="99"/>
    <w:rsid w:val="006241E5"/>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6241E5"/>
    <w:pPr>
      <w:tabs>
        <w:tab w:val="center" w:pos="4680"/>
        <w:tab w:val="right" w:pos="9360"/>
      </w:tabs>
      <w:spacing w:after="0"/>
    </w:pPr>
  </w:style>
  <w:style w:type="character" w:customStyle="1" w:styleId="FooterChar">
    <w:name w:val="Footer Char"/>
    <w:basedOn w:val="DefaultParagraphFont"/>
    <w:link w:val="Footer"/>
    <w:uiPriority w:val="99"/>
    <w:rsid w:val="006241E5"/>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404">
      <w:bodyDiv w:val="1"/>
      <w:marLeft w:val="0"/>
      <w:marRight w:val="0"/>
      <w:marTop w:val="0"/>
      <w:marBottom w:val="0"/>
      <w:divBdr>
        <w:top w:val="none" w:sz="0" w:space="0" w:color="auto"/>
        <w:left w:val="none" w:sz="0" w:space="0" w:color="auto"/>
        <w:bottom w:val="none" w:sz="0" w:space="0" w:color="auto"/>
        <w:right w:val="none" w:sz="0" w:space="0" w:color="auto"/>
      </w:divBdr>
      <w:divsChild>
        <w:div w:id="2010480639">
          <w:marLeft w:val="1800"/>
          <w:marRight w:val="0"/>
          <w:marTop w:val="77"/>
          <w:marBottom w:val="0"/>
          <w:divBdr>
            <w:top w:val="none" w:sz="0" w:space="0" w:color="auto"/>
            <w:left w:val="none" w:sz="0" w:space="0" w:color="auto"/>
            <w:bottom w:val="none" w:sz="0" w:space="0" w:color="auto"/>
            <w:right w:val="none" w:sz="0" w:space="0" w:color="auto"/>
          </w:divBdr>
        </w:div>
        <w:div w:id="2049527254">
          <w:marLeft w:val="2520"/>
          <w:marRight w:val="0"/>
          <w:marTop w:val="77"/>
          <w:marBottom w:val="0"/>
          <w:divBdr>
            <w:top w:val="none" w:sz="0" w:space="0" w:color="auto"/>
            <w:left w:val="none" w:sz="0" w:space="0" w:color="auto"/>
            <w:bottom w:val="none" w:sz="0" w:space="0" w:color="auto"/>
            <w:right w:val="none" w:sz="0" w:space="0" w:color="auto"/>
          </w:divBdr>
        </w:div>
        <w:div w:id="768696256">
          <w:marLeft w:val="2520"/>
          <w:marRight w:val="0"/>
          <w:marTop w:val="77"/>
          <w:marBottom w:val="0"/>
          <w:divBdr>
            <w:top w:val="none" w:sz="0" w:space="0" w:color="auto"/>
            <w:left w:val="none" w:sz="0" w:space="0" w:color="auto"/>
            <w:bottom w:val="none" w:sz="0" w:space="0" w:color="auto"/>
            <w:right w:val="none" w:sz="0" w:space="0" w:color="auto"/>
          </w:divBdr>
        </w:div>
        <w:div w:id="33388770">
          <w:marLeft w:val="2520"/>
          <w:marRight w:val="0"/>
          <w:marTop w:val="77"/>
          <w:marBottom w:val="0"/>
          <w:divBdr>
            <w:top w:val="none" w:sz="0" w:space="0" w:color="auto"/>
            <w:left w:val="none" w:sz="0" w:space="0" w:color="auto"/>
            <w:bottom w:val="none" w:sz="0" w:space="0" w:color="auto"/>
            <w:right w:val="none" w:sz="0" w:space="0" w:color="auto"/>
          </w:divBdr>
        </w:div>
        <w:div w:id="759832798">
          <w:marLeft w:val="2520"/>
          <w:marRight w:val="0"/>
          <w:marTop w:val="77"/>
          <w:marBottom w:val="0"/>
          <w:divBdr>
            <w:top w:val="none" w:sz="0" w:space="0" w:color="auto"/>
            <w:left w:val="none" w:sz="0" w:space="0" w:color="auto"/>
            <w:bottom w:val="none" w:sz="0" w:space="0" w:color="auto"/>
            <w:right w:val="none" w:sz="0" w:space="0" w:color="auto"/>
          </w:divBdr>
        </w:div>
      </w:divsChild>
    </w:div>
    <w:div w:id="117841404">
      <w:bodyDiv w:val="1"/>
      <w:marLeft w:val="0"/>
      <w:marRight w:val="0"/>
      <w:marTop w:val="0"/>
      <w:marBottom w:val="0"/>
      <w:divBdr>
        <w:top w:val="none" w:sz="0" w:space="0" w:color="auto"/>
        <w:left w:val="none" w:sz="0" w:space="0" w:color="auto"/>
        <w:bottom w:val="none" w:sz="0" w:space="0" w:color="auto"/>
        <w:right w:val="none" w:sz="0" w:space="0" w:color="auto"/>
      </w:divBdr>
    </w:div>
    <w:div w:id="391587107">
      <w:bodyDiv w:val="1"/>
      <w:marLeft w:val="0"/>
      <w:marRight w:val="0"/>
      <w:marTop w:val="0"/>
      <w:marBottom w:val="0"/>
      <w:divBdr>
        <w:top w:val="none" w:sz="0" w:space="0" w:color="auto"/>
        <w:left w:val="none" w:sz="0" w:space="0" w:color="auto"/>
        <w:bottom w:val="none" w:sz="0" w:space="0" w:color="auto"/>
        <w:right w:val="none" w:sz="0" w:space="0" w:color="auto"/>
      </w:divBdr>
    </w:div>
    <w:div w:id="704139254">
      <w:bodyDiv w:val="1"/>
      <w:marLeft w:val="0"/>
      <w:marRight w:val="0"/>
      <w:marTop w:val="0"/>
      <w:marBottom w:val="0"/>
      <w:divBdr>
        <w:top w:val="none" w:sz="0" w:space="0" w:color="auto"/>
        <w:left w:val="none" w:sz="0" w:space="0" w:color="auto"/>
        <w:bottom w:val="none" w:sz="0" w:space="0" w:color="auto"/>
        <w:right w:val="none" w:sz="0" w:space="0" w:color="auto"/>
      </w:divBdr>
    </w:div>
    <w:div w:id="869143876">
      <w:bodyDiv w:val="1"/>
      <w:marLeft w:val="0"/>
      <w:marRight w:val="0"/>
      <w:marTop w:val="0"/>
      <w:marBottom w:val="0"/>
      <w:divBdr>
        <w:top w:val="none" w:sz="0" w:space="0" w:color="auto"/>
        <w:left w:val="none" w:sz="0" w:space="0" w:color="auto"/>
        <w:bottom w:val="none" w:sz="0" w:space="0" w:color="auto"/>
        <w:right w:val="none" w:sz="0" w:space="0" w:color="auto"/>
      </w:divBdr>
    </w:div>
    <w:div w:id="869490551">
      <w:bodyDiv w:val="1"/>
      <w:marLeft w:val="0"/>
      <w:marRight w:val="0"/>
      <w:marTop w:val="0"/>
      <w:marBottom w:val="0"/>
      <w:divBdr>
        <w:top w:val="none" w:sz="0" w:space="0" w:color="auto"/>
        <w:left w:val="none" w:sz="0" w:space="0" w:color="auto"/>
        <w:bottom w:val="none" w:sz="0" w:space="0" w:color="auto"/>
        <w:right w:val="none" w:sz="0" w:space="0" w:color="auto"/>
      </w:divBdr>
    </w:div>
    <w:div w:id="1161851662">
      <w:bodyDiv w:val="1"/>
      <w:marLeft w:val="0"/>
      <w:marRight w:val="0"/>
      <w:marTop w:val="0"/>
      <w:marBottom w:val="0"/>
      <w:divBdr>
        <w:top w:val="none" w:sz="0" w:space="0" w:color="auto"/>
        <w:left w:val="none" w:sz="0" w:space="0" w:color="auto"/>
        <w:bottom w:val="none" w:sz="0" w:space="0" w:color="auto"/>
        <w:right w:val="none" w:sz="0" w:space="0" w:color="auto"/>
      </w:divBdr>
    </w:div>
    <w:div w:id="1177188508">
      <w:bodyDiv w:val="1"/>
      <w:marLeft w:val="0"/>
      <w:marRight w:val="0"/>
      <w:marTop w:val="0"/>
      <w:marBottom w:val="0"/>
      <w:divBdr>
        <w:top w:val="none" w:sz="0" w:space="0" w:color="auto"/>
        <w:left w:val="none" w:sz="0" w:space="0" w:color="auto"/>
        <w:bottom w:val="none" w:sz="0" w:space="0" w:color="auto"/>
        <w:right w:val="none" w:sz="0" w:space="0" w:color="auto"/>
      </w:divBdr>
    </w:div>
    <w:div w:id="1293562049">
      <w:bodyDiv w:val="1"/>
      <w:marLeft w:val="0"/>
      <w:marRight w:val="0"/>
      <w:marTop w:val="0"/>
      <w:marBottom w:val="0"/>
      <w:divBdr>
        <w:top w:val="none" w:sz="0" w:space="0" w:color="auto"/>
        <w:left w:val="none" w:sz="0" w:space="0" w:color="auto"/>
        <w:bottom w:val="none" w:sz="0" w:space="0" w:color="auto"/>
        <w:right w:val="none" w:sz="0" w:space="0" w:color="auto"/>
      </w:divBdr>
    </w:div>
    <w:div w:id="1339120014">
      <w:bodyDiv w:val="1"/>
      <w:marLeft w:val="0"/>
      <w:marRight w:val="0"/>
      <w:marTop w:val="0"/>
      <w:marBottom w:val="0"/>
      <w:divBdr>
        <w:top w:val="none" w:sz="0" w:space="0" w:color="auto"/>
        <w:left w:val="none" w:sz="0" w:space="0" w:color="auto"/>
        <w:bottom w:val="none" w:sz="0" w:space="0" w:color="auto"/>
        <w:right w:val="none" w:sz="0" w:space="0" w:color="auto"/>
      </w:divBdr>
    </w:div>
    <w:div w:id="1453204109">
      <w:bodyDiv w:val="1"/>
      <w:marLeft w:val="0"/>
      <w:marRight w:val="0"/>
      <w:marTop w:val="0"/>
      <w:marBottom w:val="0"/>
      <w:divBdr>
        <w:top w:val="none" w:sz="0" w:space="0" w:color="auto"/>
        <w:left w:val="none" w:sz="0" w:space="0" w:color="auto"/>
        <w:bottom w:val="none" w:sz="0" w:space="0" w:color="auto"/>
        <w:right w:val="none" w:sz="0" w:space="0" w:color="auto"/>
      </w:divBdr>
    </w:div>
    <w:div w:id="1544829338">
      <w:bodyDiv w:val="1"/>
      <w:marLeft w:val="0"/>
      <w:marRight w:val="0"/>
      <w:marTop w:val="0"/>
      <w:marBottom w:val="0"/>
      <w:divBdr>
        <w:top w:val="none" w:sz="0" w:space="0" w:color="auto"/>
        <w:left w:val="none" w:sz="0" w:space="0" w:color="auto"/>
        <w:bottom w:val="none" w:sz="0" w:space="0" w:color="auto"/>
        <w:right w:val="none" w:sz="0" w:space="0" w:color="auto"/>
      </w:divBdr>
      <w:divsChild>
        <w:div w:id="1481995359">
          <w:marLeft w:val="1166"/>
          <w:marRight w:val="0"/>
          <w:marTop w:val="82"/>
          <w:marBottom w:val="0"/>
          <w:divBdr>
            <w:top w:val="none" w:sz="0" w:space="0" w:color="auto"/>
            <w:left w:val="none" w:sz="0" w:space="0" w:color="auto"/>
            <w:bottom w:val="none" w:sz="0" w:space="0" w:color="auto"/>
            <w:right w:val="none" w:sz="0" w:space="0" w:color="auto"/>
          </w:divBdr>
        </w:div>
        <w:div w:id="94132275">
          <w:marLeft w:val="1800"/>
          <w:marRight w:val="0"/>
          <w:marTop w:val="72"/>
          <w:marBottom w:val="0"/>
          <w:divBdr>
            <w:top w:val="none" w:sz="0" w:space="0" w:color="auto"/>
            <w:left w:val="none" w:sz="0" w:space="0" w:color="auto"/>
            <w:bottom w:val="none" w:sz="0" w:space="0" w:color="auto"/>
            <w:right w:val="none" w:sz="0" w:space="0" w:color="auto"/>
          </w:divBdr>
        </w:div>
        <w:div w:id="785151396">
          <w:marLeft w:val="1800"/>
          <w:marRight w:val="0"/>
          <w:marTop w:val="72"/>
          <w:marBottom w:val="0"/>
          <w:divBdr>
            <w:top w:val="none" w:sz="0" w:space="0" w:color="auto"/>
            <w:left w:val="none" w:sz="0" w:space="0" w:color="auto"/>
            <w:bottom w:val="none" w:sz="0" w:space="0" w:color="auto"/>
            <w:right w:val="none" w:sz="0" w:space="0" w:color="auto"/>
          </w:divBdr>
        </w:div>
        <w:div w:id="544635819">
          <w:marLeft w:val="1800"/>
          <w:marRight w:val="0"/>
          <w:marTop w:val="72"/>
          <w:marBottom w:val="0"/>
          <w:divBdr>
            <w:top w:val="none" w:sz="0" w:space="0" w:color="auto"/>
            <w:left w:val="none" w:sz="0" w:space="0" w:color="auto"/>
            <w:bottom w:val="none" w:sz="0" w:space="0" w:color="auto"/>
            <w:right w:val="none" w:sz="0" w:space="0" w:color="auto"/>
          </w:divBdr>
        </w:div>
        <w:div w:id="1232930005">
          <w:marLeft w:val="1800"/>
          <w:marRight w:val="0"/>
          <w:marTop w:val="72"/>
          <w:marBottom w:val="0"/>
          <w:divBdr>
            <w:top w:val="none" w:sz="0" w:space="0" w:color="auto"/>
            <w:left w:val="none" w:sz="0" w:space="0" w:color="auto"/>
            <w:bottom w:val="none" w:sz="0" w:space="0" w:color="auto"/>
            <w:right w:val="none" w:sz="0" w:space="0" w:color="auto"/>
          </w:divBdr>
        </w:div>
      </w:divsChild>
    </w:div>
    <w:div w:id="1606617742">
      <w:bodyDiv w:val="1"/>
      <w:marLeft w:val="0"/>
      <w:marRight w:val="0"/>
      <w:marTop w:val="0"/>
      <w:marBottom w:val="0"/>
      <w:divBdr>
        <w:top w:val="none" w:sz="0" w:space="0" w:color="auto"/>
        <w:left w:val="none" w:sz="0" w:space="0" w:color="auto"/>
        <w:bottom w:val="none" w:sz="0" w:space="0" w:color="auto"/>
        <w:right w:val="none" w:sz="0" w:space="0" w:color="auto"/>
      </w:divBdr>
      <w:divsChild>
        <w:div w:id="581524085">
          <w:marLeft w:val="1166"/>
          <w:marRight w:val="0"/>
          <w:marTop w:val="86"/>
          <w:marBottom w:val="0"/>
          <w:divBdr>
            <w:top w:val="none" w:sz="0" w:space="0" w:color="auto"/>
            <w:left w:val="none" w:sz="0" w:space="0" w:color="auto"/>
            <w:bottom w:val="none" w:sz="0" w:space="0" w:color="auto"/>
            <w:right w:val="none" w:sz="0" w:space="0" w:color="auto"/>
          </w:divBdr>
        </w:div>
        <w:div w:id="79447538">
          <w:marLeft w:val="1800"/>
          <w:marRight w:val="0"/>
          <w:marTop w:val="77"/>
          <w:marBottom w:val="0"/>
          <w:divBdr>
            <w:top w:val="none" w:sz="0" w:space="0" w:color="auto"/>
            <w:left w:val="none" w:sz="0" w:space="0" w:color="auto"/>
            <w:bottom w:val="none" w:sz="0" w:space="0" w:color="auto"/>
            <w:right w:val="none" w:sz="0" w:space="0" w:color="auto"/>
          </w:divBdr>
        </w:div>
        <w:div w:id="420370614">
          <w:marLeft w:val="1800"/>
          <w:marRight w:val="0"/>
          <w:marTop w:val="77"/>
          <w:marBottom w:val="0"/>
          <w:divBdr>
            <w:top w:val="none" w:sz="0" w:space="0" w:color="auto"/>
            <w:left w:val="none" w:sz="0" w:space="0" w:color="auto"/>
            <w:bottom w:val="none" w:sz="0" w:space="0" w:color="auto"/>
            <w:right w:val="none" w:sz="0" w:space="0" w:color="auto"/>
          </w:divBdr>
        </w:div>
        <w:div w:id="1475172414">
          <w:marLeft w:val="1800"/>
          <w:marRight w:val="0"/>
          <w:marTop w:val="77"/>
          <w:marBottom w:val="0"/>
          <w:divBdr>
            <w:top w:val="none" w:sz="0" w:space="0" w:color="auto"/>
            <w:left w:val="none" w:sz="0" w:space="0" w:color="auto"/>
            <w:bottom w:val="none" w:sz="0" w:space="0" w:color="auto"/>
            <w:right w:val="none" w:sz="0" w:space="0" w:color="auto"/>
          </w:divBdr>
        </w:div>
        <w:div w:id="748503290">
          <w:marLeft w:val="1800"/>
          <w:marRight w:val="0"/>
          <w:marTop w:val="77"/>
          <w:marBottom w:val="0"/>
          <w:divBdr>
            <w:top w:val="none" w:sz="0" w:space="0" w:color="auto"/>
            <w:left w:val="none" w:sz="0" w:space="0" w:color="auto"/>
            <w:bottom w:val="none" w:sz="0" w:space="0" w:color="auto"/>
            <w:right w:val="none" w:sz="0" w:space="0" w:color="auto"/>
          </w:divBdr>
        </w:div>
        <w:div w:id="837496611">
          <w:marLeft w:val="1800"/>
          <w:marRight w:val="0"/>
          <w:marTop w:val="77"/>
          <w:marBottom w:val="0"/>
          <w:divBdr>
            <w:top w:val="none" w:sz="0" w:space="0" w:color="auto"/>
            <w:left w:val="none" w:sz="0" w:space="0" w:color="auto"/>
            <w:bottom w:val="none" w:sz="0" w:space="0" w:color="auto"/>
            <w:right w:val="none" w:sz="0" w:space="0" w:color="auto"/>
          </w:divBdr>
        </w:div>
        <w:div w:id="1104421632">
          <w:marLeft w:val="1800"/>
          <w:marRight w:val="0"/>
          <w:marTop w:val="77"/>
          <w:marBottom w:val="0"/>
          <w:divBdr>
            <w:top w:val="none" w:sz="0" w:space="0" w:color="auto"/>
            <w:left w:val="none" w:sz="0" w:space="0" w:color="auto"/>
            <w:bottom w:val="none" w:sz="0" w:space="0" w:color="auto"/>
            <w:right w:val="none" w:sz="0" w:space="0" w:color="auto"/>
          </w:divBdr>
        </w:div>
        <w:div w:id="2125076670">
          <w:marLeft w:val="1166"/>
          <w:marRight w:val="0"/>
          <w:marTop w:val="86"/>
          <w:marBottom w:val="0"/>
          <w:divBdr>
            <w:top w:val="none" w:sz="0" w:space="0" w:color="auto"/>
            <w:left w:val="none" w:sz="0" w:space="0" w:color="auto"/>
            <w:bottom w:val="none" w:sz="0" w:space="0" w:color="auto"/>
            <w:right w:val="none" w:sz="0" w:space="0" w:color="auto"/>
          </w:divBdr>
        </w:div>
        <w:div w:id="1003244300">
          <w:marLeft w:val="1166"/>
          <w:marRight w:val="0"/>
          <w:marTop w:val="86"/>
          <w:marBottom w:val="0"/>
          <w:divBdr>
            <w:top w:val="none" w:sz="0" w:space="0" w:color="auto"/>
            <w:left w:val="none" w:sz="0" w:space="0" w:color="auto"/>
            <w:bottom w:val="none" w:sz="0" w:space="0" w:color="auto"/>
            <w:right w:val="none" w:sz="0" w:space="0" w:color="auto"/>
          </w:divBdr>
        </w:div>
        <w:div w:id="484053920">
          <w:marLeft w:val="1166"/>
          <w:marRight w:val="0"/>
          <w:marTop w:val="86"/>
          <w:marBottom w:val="0"/>
          <w:divBdr>
            <w:top w:val="none" w:sz="0" w:space="0" w:color="auto"/>
            <w:left w:val="none" w:sz="0" w:space="0" w:color="auto"/>
            <w:bottom w:val="none" w:sz="0" w:space="0" w:color="auto"/>
            <w:right w:val="none" w:sz="0" w:space="0" w:color="auto"/>
          </w:divBdr>
        </w:div>
        <w:div w:id="1902667911">
          <w:marLeft w:val="1166"/>
          <w:marRight w:val="0"/>
          <w:marTop w:val="86"/>
          <w:marBottom w:val="0"/>
          <w:divBdr>
            <w:top w:val="none" w:sz="0" w:space="0" w:color="auto"/>
            <w:left w:val="none" w:sz="0" w:space="0" w:color="auto"/>
            <w:bottom w:val="none" w:sz="0" w:space="0" w:color="auto"/>
            <w:right w:val="none" w:sz="0" w:space="0" w:color="auto"/>
          </w:divBdr>
        </w:div>
        <w:div w:id="1820683090">
          <w:marLeft w:val="1166"/>
          <w:marRight w:val="0"/>
          <w:marTop w:val="86"/>
          <w:marBottom w:val="0"/>
          <w:divBdr>
            <w:top w:val="none" w:sz="0" w:space="0" w:color="auto"/>
            <w:left w:val="none" w:sz="0" w:space="0" w:color="auto"/>
            <w:bottom w:val="none" w:sz="0" w:space="0" w:color="auto"/>
            <w:right w:val="none" w:sz="0" w:space="0" w:color="auto"/>
          </w:divBdr>
        </w:div>
        <w:div w:id="1521580684">
          <w:marLeft w:val="1166"/>
          <w:marRight w:val="0"/>
          <w:marTop w:val="86"/>
          <w:marBottom w:val="0"/>
          <w:divBdr>
            <w:top w:val="none" w:sz="0" w:space="0" w:color="auto"/>
            <w:left w:val="none" w:sz="0" w:space="0" w:color="auto"/>
            <w:bottom w:val="none" w:sz="0" w:space="0" w:color="auto"/>
            <w:right w:val="none" w:sz="0" w:space="0" w:color="auto"/>
          </w:divBdr>
        </w:div>
        <w:div w:id="1787508672">
          <w:marLeft w:val="1166"/>
          <w:marRight w:val="0"/>
          <w:marTop w:val="86"/>
          <w:marBottom w:val="0"/>
          <w:divBdr>
            <w:top w:val="none" w:sz="0" w:space="0" w:color="auto"/>
            <w:left w:val="none" w:sz="0" w:space="0" w:color="auto"/>
            <w:bottom w:val="none" w:sz="0" w:space="0" w:color="auto"/>
            <w:right w:val="none" w:sz="0" w:space="0" w:color="auto"/>
          </w:divBdr>
        </w:div>
      </w:divsChild>
    </w:div>
    <w:div w:id="1787117604">
      <w:bodyDiv w:val="1"/>
      <w:marLeft w:val="0"/>
      <w:marRight w:val="0"/>
      <w:marTop w:val="0"/>
      <w:marBottom w:val="0"/>
      <w:divBdr>
        <w:top w:val="none" w:sz="0" w:space="0" w:color="auto"/>
        <w:left w:val="none" w:sz="0" w:space="0" w:color="auto"/>
        <w:bottom w:val="none" w:sz="0" w:space="0" w:color="auto"/>
        <w:right w:val="none" w:sz="0" w:space="0" w:color="auto"/>
      </w:divBdr>
    </w:div>
    <w:div w:id="1824083557">
      <w:bodyDiv w:val="1"/>
      <w:marLeft w:val="0"/>
      <w:marRight w:val="0"/>
      <w:marTop w:val="0"/>
      <w:marBottom w:val="0"/>
      <w:divBdr>
        <w:top w:val="none" w:sz="0" w:space="0" w:color="auto"/>
        <w:left w:val="none" w:sz="0" w:space="0" w:color="auto"/>
        <w:bottom w:val="none" w:sz="0" w:space="0" w:color="auto"/>
        <w:right w:val="none" w:sz="0" w:space="0" w:color="auto"/>
      </w:divBdr>
    </w:div>
    <w:div w:id="1908296267">
      <w:bodyDiv w:val="1"/>
      <w:marLeft w:val="0"/>
      <w:marRight w:val="0"/>
      <w:marTop w:val="0"/>
      <w:marBottom w:val="0"/>
      <w:divBdr>
        <w:top w:val="none" w:sz="0" w:space="0" w:color="auto"/>
        <w:left w:val="none" w:sz="0" w:space="0" w:color="auto"/>
        <w:bottom w:val="none" w:sz="0" w:space="0" w:color="auto"/>
        <w:right w:val="none" w:sz="0" w:space="0" w:color="auto"/>
      </w:divBdr>
    </w:div>
    <w:div w:id="1940524693">
      <w:bodyDiv w:val="1"/>
      <w:marLeft w:val="0"/>
      <w:marRight w:val="0"/>
      <w:marTop w:val="0"/>
      <w:marBottom w:val="0"/>
      <w:divBdr>
        <w:top w:val="none" w:sz="0" w:space="0" w:color="auto"/>
        <w:left w:val="none" w:sz="0" w:space="0" w:color="auto"/>
        <w:bottom w:val="none" w:sz="0" w:space="0" w:color="auto"/>
        <w:right w:val="none" w:sz="0" w:space="0" w:color="auto"/>
      </w:divBdr>
      <w:divsChild>
        <w:div w:id="250823015">
          <w:marLeft w:val="2520"/>
          <w:marRight w:val="0"/>
          <w:marTop w:val="77"/>
          <w:marBottom w:val="0"/>
          <w:divBdr>
            <w:top w:val="none" w:sz="0" w:space="0" w:color="auto"/>
            <w:left w:val="none" w:sz="0" w:space="0" w:color="auto"/>
            <w:bottom w:val="none" w:sz="0" w:space="0" w:color="auto"/>
            <w:right w:val="none" w:sz="0" w:space="0" w:color="auto"/>
          </w:divBdr>
        </w:div>
        <w:div w:id="220288342">
          <w:marLeft w:val="2520"/>
          <w:marRight w:val="0"/>
          <w:marTop w:val="77"/>
          <w:marBottom w:val="0"/>
          <w:divBdr>
            <w:top w:val="none" w:sz="0" w:space="0" w:color="auto"/>
            <w:left w:val="none" w:sz="0" w:space="0" w:color="auto"/>
            <w:bottom w:val="none" w:sz="0" w:space="0" w:color="auto"/>
            <w:right w:val="none" w:sz="0" w:space="0" w:color="auto"/>
          </w:divBdr>
        </w:div>
      </w:divsChild>
    </w:div>
    <w:div w:id="2005890257">
      <w:bodyDiv w:val="1"/>
      <w:marLeft w:val="0"/>
      <w:marRight w:val="0"/>
      <w:marTop w:val="0"/>
      <w:marBottom w:val="0"/>
      <w:divBdr>
        <w:top w:val="none" w:sz="0" w:space="0" w:color="auto"/>
        <w:left w:val="none" w:sz="0" w:space="0" w:color="auto"/>
        <w:bottom w:val="none" w:sz="0" w:space="0" w:color="auto"/>
        <w:right w:val="none" w:sz="0" w:space="0" w:color="auto"/>
      </w:divBdr>
      <w:divsChild>
        <w:div w:id="1046300338">
          <w:marLeft w:val="1800"/>
          <w:marRight w:val="0"/>
          <w:marTop w:val="77"/>
          <w:marBottom w:val="0"/>
          <w:divBdr>
            <w:top w:val="none" w:sz="0" w:space="0" w:color="auto"/>
            <w:left w:val="none" w:sz="0" w:space="0" w:color="auto"/>
            <w:bottom w:val="none" w:sz="0" w:space="0" w:color="auto"/>
            <w:right w:val="none" w:sz="0" w:space="0" w:color="auto"/>
          </w:divBdr>
        </w:div>
        <w:div w:id="1562212599">
          <w:marLeft w:val="2520"/>
          <w:marRight w:val="0"/>
          <w:marTop w:val="77"/>
          <w:marBottom w:val="0"/>
          <w:divBdr>
            <w:top w:val="none" w:sz="0" w:space="0" w:color="auto"/>
            <w:left w:val="none" w:sz="0" w:space="0" w:color="auto"/>
            <w:bottom w:val="none" w:sz="0" w:space="0" w:color="auto"/>
            <w:right w:val="none" w:sz="0" w:space="0" w:color="auto"/>
          </w:divBdr>
        </w:div>
        <w:div w:id="433479331">
          <w:marLeft w:val="2520"/>
          <w:marRight w:val="0"/>
          <w:marTop w:val="77"/>
          <w:marBottom w:val="0"/>
          <w:divBdr>
            <w:top w:val="none" w:sz="0" w:space="0" w:color="auto"/>
            <w:left w:val="none" w:sz="0" w:space="0" w:color="auto"/>
            <w:bottom w:val="none" w:sz="0" w:space="0" w:color="auto"/>
            <w:right w:val="none" w:sz="0" w:space="0" w:color="auto"/>
          </w:divBdr>
        </w:div>
        <w:div w:id="669065424">
          <w:marLeft w:val="2520"/>
          <w:marRight w:val="0"/>
          <w:marTop w:val="77"/>
          <w:marBottom w:val="0"/>
          <w:divBdr>
            <w:top w:val="none" w:sz="0" w:space="0" w:color="auto"/>
            <w:left w:val="none" w:sz="0" w:space="0" w:color="auto"/>
            <w:bottom w:val="none" w:sz="0" w:space="0" w:color="auto"/>
            <w:right w:val="none" w:sz="0" w:space="0" w:color="auto"/>
          </w:divBdr>
        </w:div>
        <w:div w:id="381253800">
          <w:marLeft w:val="2520"/>
          <w:marRight w:val="0"/>
          <w:marTop w:val="77"/>
          <w:marBottom w:val="0"/>
          <w:divBdr>
            <w:top w:val="none" w:sz="0" w:space="0" w:color="auto"/>
            <w:left w:val="none" w:sz="0" w:space="0" w:color="auto"/>
            <w:bottom w:val="none" w:sz="0" w:space="0" w:color="auto"/>
            <w:right w:val="none" w:sz="0" w:space="0" w:color="auto"/>
          </w:divBdr>
        </w:div>
      </w:divsChild>
    </w:div>
    <w:div w:id="2032298328">
      <w:bodyDiv w:val="1"/>
      <w:marLeft w:val="0"/>
      <w:marRight w:val="0"/>
      <w:marTop w:val="0"/>
      <w:marBottom w:val="0"/>
      <w:divBdr>
        <w:top w:val="none" w:sz="0" w:space="0" w:color="auto"/>
        <w:left w:val="none" w:sz="0" w:space="0" w:color="auto"/>
        <w:bottom w:val="none" w:sz="0" w:space="0" w:color="auto"/>
        <w:right w:val="none" w:sz="0" w:space="0" w:color="auto"/>
      </w:divBdr>
      <w:divsChild>
        <w:div w:id="1389110161">
          <w:marLeft w:val="1166"/>
          <w:marRight w:val="0"/>
          <w:marTop w:val="86"/>
          <w:marBottom w:val="0"/>
          <w:divBdr>
            <w:top w:val="none" w:sz="0" w:space="0" w:color="auto"/>
            <w:left w:val="none" w:sz="0" w:space="0" w:color="auto"/>
            <w:bottom w:val="none" w:sz="0" w:space="0" w:color="auto"/>
            <w:right w:val="none" w:sz="0" w:space="0" w:color="auto"/>
          </w:divBdr>
        </w:div>
        <w:div w:id="1802990510">
          <w:marLeft w:val="1166"/>
          <w:marRight w:val="0"/>
          <w:marTop w:val="86"/>
          <w:marBottom w:val="0"/>
          <w:divBdr>
            <w:top w:val="none" w:sz="0" w:space="0" w:color="auto"/>
            <w:left w:val="none" w:sz="0" w:space="0" w:color="auto"/>
            <w:bottom w:val="none" w:sz="0" w:space="0" w:color="auto"/>
            <w:right w:val="none" w:sz="0" w:space="0" w:color="auto"/>
          </w:divBdr>
        </w:div>
        <w:div w:id="541286600">
          <w:marLeft w:val="1800"/>
          <w:marRight w:val="0"/>
          <w:marTop w:val="77"/>
          <w:marBottom w:val="0"/>
          <w:divBdr>
            <w:top w:val="none" w:sz="0" w:space="0" w:color="auto"/>
            <w:left w:val="none" w:sz="0" w:space="0" w:color="auto"/>
            <w:bottom w:val="none" w:sz="0" w:space="0" w:color="auto"/>
            <w:right w:val="none" w:sz="0" w:space="0" w:color="auto"/>
          </w:divBdr>
        </w:div>
        <w:div w:id="1797408965">
          <w:marLeft w:val="1800"/>
          <w:marRight w:val="0"/>
          <w:marTop w:val="77"/>
          <w:marBottom w:val="0"/>
          <w:divBdr>
            <w:top w:val="none" w:sz="0" w:space="0" w:color="auto"/>
            <w:left w:val="none" w:sz="0" w:space="0" w:color="auto"/>
            <w:bottom w:val="none" w:sz="0" w:space="0" w:color="auto"/>
            <w:right w:val="none" w:sz="0" w:space="0" w:color="auto"/>
          </w:divBdr>
        </w:div>
        <w:div w:id="1219438515">
          <w:marLeft w:val="1800"/>
          <w:marRight w:val="0"/>
          <w:marTop w:val="77"/>
          <w:marBottom w:val="0"/>
          <w:divBdr>
            <w:top w:val="none" w:sz="0" w:space="0" w:color="auto"/>
            <w:left w:val="none" w:sz="0" w:space="0" w:color="auto"/>
            <w:bottom w:val="none" w:sz="0" w:space="0" w:color="auto"/>
            <w:right w:val="none" w:sz="0" w:space="0" w:color="auto"/>
          </w:divBdr>
        </w:div>
        <w:div w:id="655719282">
          <w:marLeft w:val="1800"/>
          <w:marRight w:val="0"/>
          <w:marTop w:val="77"/>
          <w:marBottom w:val="0"/>
          <w:divBdr>
            <w:top w:val="none" w:sz="0" w:space="0" w:color="auto"/>
            <w:left w:val="none" w:sz="0" w:space="0" w:color="auto"/>
            <w:bottom w:val="none" w:sz="0" w:space="0" w:color="auto"/>
            <w:right w:val="none" w:sz="0" w:space="0" w:color="auto"/>
          </w:divBdr>
        </w:div>
        <w:div w:id="982586170">
          <w:marLeft w:val="1800"/>
          <w:marRight w:val="0"/>
          <w:marTop w:val="77"/>
          <w:marBottom w:val="0"/>
          <w:divBdr>
            <w:top w:val="none" w:sz="0" w:space="0" w:color="auto"/>
            <w:left w:val="none" w:sz="0" w:space="0" w:color="auto"/>
            <w:bottom w:val="none" w:sz="0" w:space="0" w:color="auto"/>
            <w:right w:val="none" w:sz="0" w:space="0" w:color="auto"/>
          </w:divBdr>
        </w:div>
        <w:div w:id="1749380783">
          <w:marLeft w:val="1166"/>
          <w:marRight w:val="0"/>
          <w:marTop w:val="86"/>
          <w:marBottom w:val="0"/>
          <w:divBdr>
            <w:top w:val="none" w:sz="0" w:space="0" w:color="auto"/>
            <w:left w:val="none" w:sz="0" w:space="0" w:color="auto"/>
            <w:bottom w:val="none" w:sz="0" w:space="0" w:color="auto"/>
            <w:right w:val="none" w:sz="0" w:space="0" w:color="auto"/>
          </w:divBdr>
        </w:div>
        <w:div w:id="1066606452">
          <w:marLeft w:val="1166"/>
          <w:marRight w:val="0"/>
          <w:marTop w:val="86"/>
          <w:marBottom w:val="0"/>
          <w:divBdr>
            <w:top w:val="none" w:sz="0" w:space="0" w:color="auto"/>
            <w:left w:val="none" w:sz="0" w:space="0" w:color="auto"/>
            <w:bottom w:val="none" w:sz="0" w:space="0" w:color="auto"/>
            <w:right w:val="none" w:sz="0" w:space="0" w:color="auto"/>
          </w:divBdr>
        </w:div>
        <w:div w:id="319428224">
          <w:marLeft w:val="1800"/>
          <w:marRight w:val="0"/>
          <w:marTop w:val="77"/>
          <w:marBottom w:val="0"/>
          <w:divBdr>
            <w:top w:val="none" w:sz="0" w:space="0" w:color="auto"/>
            <w:left w:val="none" w:sz="0" w:space="0" w:color="auto"/>
            <w:bottom w:val="none" w:sz="0" w:space="0" w:color="auto"/>
            <w:right w:val="none" w:sz="0" w:space="0" w:color="auto"/>
          </w:divBdr>
        </w:div>
        <w:div w:id="589584521">
          <w:marLeft w:val="1800"/>
          <w:marRight w:val="0"/>
          <w:marTop w:val="77"/>
          <w:marBottom w:val="0"/>
          <w:divBdr>
            <w:top w:val="none" w:sz="0" w:space="0" w:color="auto"/>
            <w:left w:val="none" w:sz="0" w:space="0" w:color="auto"/>
            <w:bottom w:val="none" w:sz="0" w:space="0" w:color="auto"/>
            <w:right w:val="none" w:sz="0" w:space="0" w:color="auto"/>
          </w:divBdr>
        </w:div>
        <w:div w:id="1667244106">
          <w:marLeft w:val="1166"/>
          <w:marRight w:val="0"/>
          <w:marTop w:val="86"/>
          <w:marBottom w:val="0"/>
          <w:divBdr>
            <w:top w:val="none" w:sz="0" w:space="0" w:color="auto"/>
            <w:left w:val="none" w:sz="0" w:space="0" w:color="auto"/>
            <w:bottom w:val="none" w:sz="0" w:space="0" w:color="auto"/>
            <w:right w:val="none" w:sz="0" w:space="0" w:color="auto"/>
          </w:divBdr>
        </w:div>
        <w:div w:id="61030913">
          <w:marLeft w:val="1166"/>
          <w:marRight w:val="0"/>
          <w:marTop w:val="86"/>
          <w:marBottom w:val="0"/>
          <w:divBdr>
            <w:top w:val="none" w:sz="0" w:space="0" w:color="auto"/>
            <w:left w:val="none" w:sz="0" w:space="0" w:color="auto"/>
            <w:bottom w:val="none" w:sz="0" w:space="0" w:color="auto"/>
            <w:right w:val="none" w:sz="0" w:space="0" w:color="auto"/>
          </w:divBdr>
        </w:div>
        <w:div w:id="119232121">
          <w:marLeft w:val="1166"/>
          <w:marRight w:val="0"/>
          <w:marTop w:val="86"/>
          <w:marBottom w:val="0"/>
          <w:divBdr>
            <w:top w:val="none" w:sz="0" w:space="0" w:color="auto"/>
            <w:left w:val="none" w:sz="0" w:space="0" w:color="auto"/>
            <w:bottom w:val="none" w:sz="0" w:space="0" w:color="auto"/>
            <w:right w:val="none" w:sz="0" w:space="0" w:color="auto"/>
          </w:divBdr>
        </w:div>
      </w:divsChild>
    </w:div>
    <w:div w:id="2093890285">
      <w:bodyDiv w:val="1"/>
      <w:marLeft w:val="0"/>
      <w:marRight w:val="0"/>
      <w:marTop w:val="0"/>
      <w:marBottom w:val="0"/>
      <w:divBdr>
        <w:top w:val="none" w:sz="0" w:space="0" w:color="auto"/>
        <w:left w:val="none" w:sz="0" w:space="0" w:color="auto"/>
        <w:bottom w:val="none" w:sz="0" w:space="0" w:color="auto"/>
        <w:right w:val="none" w:sz="0" w:space="0" w:color="auto"/>
      </w:divBdr>
      <w:divsChild>
        <w:div w:id="686562269">
          <w:marLeft w:val="1800"/>
          <w:marRight w:val="0"/>
          <w:marTop w:val="72"/>
          <w:marBottom w:val="0"/>
          <w:divBdr>
            <w:top w:val="none" w:sz="0" w:space="0" w:color="auto"/>
            <w:left w:val="none" w:sz="0" w:space="0" w:color="auto"/>
            <w:bottom w:val="none" w:sz="0" w:space="0" w:color="auto"/>
            <w:right w:val="none" w:sz="0" w:space="0" w:color="auto"/>
          </w:divBdr>
        </w:div>
        <w:div w:id="1945646832">
          <w:marLeft w:val="1800"/>
          <w:marRight w:val="0"/>
          <w:marTop w:val="72"/>
          <w:marBottom w:val="0"/>
          <w:divBdr>
            <w:top w:val="none" w:sz="0" w:space="0" w:color="auto"/>
            <w:left w:val="none" w:sz="0" w:space="0" w:color="auto"/>
            <w:bottom w:val="none" w:sz="0" w:space="0" w:color="auto"/>
            <w:right w:val="none" w:sz="0" w:space="0" w:color="auto"/>
          </w:divBdr>
        </w:div>
        <w:div w:id="1626228527">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1490</TotalTime>
  <Pages>10</Pages>
  <Words>3550</Words>
  <Characters>20236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Shankar Krishnan</cp:lastModifiedBy>
  <cp:revision>967</cp:revision>
  <dcterms:created xsi:type="dcterms:W3CDTF">2021-05-04T05:42:00Z</dcterms:created>
  <dcterms:modified xsi:type="dcterms:W3CDTF">2021-10-20T18:36:00Z</dcterms:modified>
</cp:coreProperties>
</file>